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3BEB1" w14:textId="77777777" w:rsidR="00F144A4" w:rsidRPr="003334FA" w:rsidRDefault="00F144A4" w:rsidP="00F144A4">
      <w:pPr>
        <w:adjustRightInd w:val="0"/>
        <w:snapToGrid w:val="0"/>
      </w:pPr>
      <w:bookmarkStart w:id="0" w:name="_Hlk51218476"/>
      <w:r w:rsidRPr="003334FA">
        <w:t>Research</w:t>
      </w:r>
    </w:p>
    <w:p w14:paraId="54978F46" w14:textId="77777777" w:rsidR="00F144A4" w:rsidRPr="003334FA" w:rsidRDefault="00F144A4" w:rsidP="00F144A4">
      <w:pPr>
        <w:adjustRightInd w:val="0"/>
        <w:snapToGrid w:val="0"/>
      </w:pPr>
      <w:r w:rsidRPr="003334FA">
        <w:t>Environmental Engineering―Article</w:t>
      </w:r>
    </w:p>
    <w:p w14:paraId="55605DC0" w14:textId="77777777" w:rsidR="00F144A4" w:rsidRDefault="00F144A4" w:rsidP="00F144A4">
      <w:pPr>
        <w:pStyle w:val="8-Title-ENG"/>
      </w:pPr>
      <w:r>
        <w:t>Integrating Top-Down and Bottom-Up Approaches Improves Practicality and Efficiency of Large-Scale Ecological Restoration Planning: Insights from a Social‒Ecological System</w:t>
      </w:r>
    </w:p>
    <w:p w14:paraId="6CF9691C" w14:textId="77777777" w:rsidR="00F144A4" w:rsidRDefault="00F144A4" w:rsidP="00F144A4">
      <w:pPr>
        <w:pStyle w:val="6-Author-ENG"/>
      </w:pPr>
      <w:proofErr w:type="spellStart"/>
      <w:r>
        <w:t>Zhaowei</w:t>
      </w:r>
      <w:proofErr w:type="spellEnd"/>
      <w:r>
        <w:t xml:space="preserve"> Ding </w:t>
      </w:r>
      <w:proofErr w:type="spellStart"/>
      <w:proofErr w:type="gramStart"/>
      <w:r>
        <w:rPr>
          <w:vertAlign w:val="superscript"/>
        </w:rPr>
        <w:t>a,b</w:t>
      </w:r>
      <w:proofErr w:type="spellEnd"/>
      <w:proofErr w:type="gramEnd"/>
      <w:r>
        <w:t xml:space="preserve">, Hua Zheng </w:t>
      </w:r>
      <w:proofErr w:type="spellStart"/>
      <w:r>
        <w:rPr>
          <w:vertAlign w:val="superscript"/>
        </w:rPr>
        <w:t>a,b</w:t>
      </w:r>
      <w:proofErr w:type="spellEnd"/>
      <w:r>
        <w:rPr>
          <w:vertAlign w:val="superscript"/>
        </w:rPr>
        <w:t>,</w:t>
      </w:r>
      <w:r>
        <w:t xml:space="preserve">*, Jun </w:t>
      </w:r>
      <w:proofErr w:type="spellStart"/>
      <w:r>
        <w:t>Wang</w:t>
      </w:r>
      <w:r>
        <w:rPr>
          <w:vertAlign w:val="superscript"/>
        </w:rPr>
        <w:t>c</w:t>
      </w:r>
      <w:proofErr w:type="spellEnd"/>
      <w:r>
        <w:t xml:space="preserve">, Patrick </w:t>
      </w:r>
      <w:proofErr w:type="spellStart"/>
      <w:r>
        <w:t>O’Connor</w:t>
      </w:r>
      <w:r>
        <w:rPr>
          <w:vertAlign w:val="superscript"/>
        </w:rPr>
        <w:t>d</w:t>
      </w:r>
      <w:proofErr w:type="spellEnd"/>
      <w:r>
        <w:t>, Cong Li</w:t>
      </w:r>
      <w:r>
        <w:rPr>
          <w:vertAlign w:val="superscript"/>
        </w:rPr>
        <w:t>e</w:t>
      </w:r>
      <w:r>
        <w:t xml:space="preserve">, </w:t>
      </w:r>
      <w:proofErr w:type="spellStart"/>
      <w:r>
        <w:t>Xiaodong</w:t>
      </w:r>
      <w:proofErr w:type="spellEnd"/>
      <w:r>
        <w:t xml:space="preserve"> Chen</w:t>
      </w:r>
      <w:r>
        <w:rPr>
          <w:vertAlign w:val="superscript"/>
        </w:rPr>
        <w:t>a</w:t>
      </w:r>
      <w:r>
        <w:t xml:space="preserve">, </w:t>
      </w:r>
      <w:proofErr w:type="spellStart"/>
      <w:r>
        <w:t>Ruonan</w:t>
      </w:r>
      <w:proofErr w:type="spellEnd"/>
      <w:r>
        <w:t xml:space="preserve"> Li </w:t>
      </w:r>
      <w:proofErr w:type="spellStart"/>
      <w:r>
        <w:rPr>
          <w:vertAlign w:val="superscript"/>
        </w:rPr>
        <w:t>a,b</w:t>
      </w:r>
      <w:proofErr w:type="spellEnd"/>
      <w:r w:rsidDel="003A7B89">
        <w:rPr>
          <w:vertAlign w:val="superscript"/>
        </w:rPr>
        <w:t xml:space="preserve"> </w:t>
      </w:r>
      <w:r>
        <w:t xml:space="preserve">, </w:t>
      </w:r>
      <w:proofErr w:type="spellStart"/>
      <w:r>
        <w:t>Zhiyun</w:t>
      </w:r>
      <w:proofErr w:type="spellEnd"/>
      <w:r>
        <w:t xml:space="preserve"> Ouyang </w:t>
      </w:r>
      <w:proofErr w:type="spellStart"/>
      <w:r>
        <w:rPr>
          <w:vertAlign w:val="superscript"/>
        </w:rPr>
        <w:t>a,b</w:t>
      </w:r>
      <w:proofErr w:type="spellEnd"/>
    </w:p>
    <w:p w14:paraId="3742599F" w14:textId="77777777" w:rsidR="00F144A4" w:rsidRDefault="00F144A4" w:rsidP="00F144A4">
      <w:pPr>
        <w:pStyle w:val="7-Affili-ENG"/>
      </w:pPr>
      <w:r w:rsidRPr="00E36B5F">
        <w:rPr>
          <w:i w:val="0"/>
          <w:iCs/>
          <w:vertAlign w:val="superscript"/>
        </w:rPr>
        <w:t>a</w:t>
      </w:r>
      <w:r w:rsidRPr="00E36B5F">
        <w:rPr>
          <w:i w:val="0"/>
          <w:iCs/>
        </w:rPr>
        <w:t xml:space="preserve"> </w:t>
      </w:r>
      <w:r>
        <w:t>State Key Laboratory of Urban and Regional Ecology, Research Center for Eco-Environmental Sciences, Chinese Academy of Sciences, Beijing 100085, China</w:t>
      </w:r>
    </w:p>
    <w:p w14:paraId="07750BBF" w14:textId="77777777" w:rsidR="00F144A4" w:rsidRDefault="00F144A4" w:rsidP="00F144A4">
      <w:pPr>
        <w:pStyle w:val="7-Affili-ENG"/>
      </w:pPr>
      <w:r w:rsidRPr="00E36B5F">
        <w:rPr>
          <w:i w:val="0"/>
          <w:iCs/>
          <w:vertAlign w:val="superscript"/>
        </w:rPr>
        <w:t>b</w:t>
      </w:r>
      <w:r>
        <w:t xml:space="preserve"> College of Resources and Environment, </w:t>
      </w:r>
      <w:r w:rsidRPr="00E36B5F">
        <w:t>University of Chinese Academy of Sciences, Beijing 100049, China</w:t>
      </w:r>
    </w:p>
    <w:p w14:paraId="30504FD7" w14:textId="77777777" w:rsidR="00F144A4" w:rsidRDefault="00F144A4" w:rsidP="00F144A4">
      <w:pPr>
        <w:pStyle w:val="7-Affili-ENG"/>
      </w:pPr>
      <w:r w:rsidRPr="00E36B5F">
        <w:rPr>
          <w:i w:val="0"/>
          <w:iCs/>
          <w:vertAlign w:val="superscript"/>
        </w:rPr>
        <w:t>c</w:t>
      </w:r>
      <w:r>
        <w:t xml:space="preserve"> Key Laboratory of Land Consolidation and Rehabilitation, Land Consolidation and Rehabilitation Center, Ministry of Natural Resources, Beijing 100035, China</w:t>
      </w:r>
    </w:p>
    <w:p w14:paraId="1413C074" w14:textId="77777777" w:rsidR="00F144A4" w:rsidRDefault="00F144A4" w:rsidP="00F144A4">
      <w:pPr>
        <w:pStyle w:val="7-Affili-ENG"/>
      </w:pPr>
      <w:r w:rsidRPr="00E36B5F">
        <w:rPr>
          <w:i w:val="0"/>
          <w:iCs/>
          <w:vertAlign w:val="superscript"/>
        </w:rPr>
        <w:t>d</w:t>
      </w:r>
      <w:r>
        <w:t xml:space="preserve"> Centre for Global Food and Resources, University of Adelaide, Adelaide 5005, Australia</w:t>
      </w:r>
    </w:p>
    <w:p w14:paraId="54CAD158" w14:textId="77777777" w:rsidR="00F144A4" w:rsidRDefault="00F144A4" w:rsidP="00F144A4">
      <w:pPr>
        <w:pStyle w:val="7-Affili-ENG"/>
      </w:pPr>
      <w:r w:rsidRPr="00E36B5F">
        <w:rPr>
          <w:i w:val="0"/>
          <w:iCs/>
          <w:vertAlign w:val="superscript"/>
        </w:rPr>
        <w:t>e</w:t>
      </w:r>
      <w:r>
        <w:t xml:space="preserve"> School of Economics and Finance, Xi’an </w:t>
      </w:r>
      <w:proofErr w:type="spellStart"/>
      <w:r>
        <w:t>Jiaotong</w:t>
      </w:r>
      <w:proofErr w:type="spellEnd"/>
      <w:r>
        <w:t xml:space="preserve"> University, Xi’an 710061, China</w:t>
      </w:r>
    </w:p>
    <w:p w14:paraId="03CE0772" w14:textId="77777777" w:rsidR="00F144A4" w:rsidRDefault="00F144A4" w:rsidP="00F144A4">
      <w:pPr>
        <w:pStyle w:val="6-Corre-ENG"/>
      </w:pPr>
      <w:r>
        <w:t xml:space="preserve">* Corresponding author: </w:t>
      </w:r>
    </w:p>
    <w:p w14:paraId="1200582A" w14:textId="77777777" w:rsidR="00F144A4" w:rsidRDefault="00F144A4" w:rsidP="00F144A4">
      <w:pPr>
        <w:pStyle w:val="6-Corre-ENG"/>
      </w:pPr>
      <w:r>
        <w:t xml:space="preserve">E-mail </w:t>
      </w:r>
      <w:r>
        <w:rPr>
          <w:rFonts w:hint="eastAsia"/>
        </w:rPr>
        <w:t>addre</w:t>
      </w:r>
      <w:r>
        <w:t xml:space="preserve">ss: </w:t>
      </w:r>
      <w:bookmarkStart w:id="1" w:name="OLE_LINK10"/>
      <w:r>
        <w:fldChar w:fldCharType="begin"/>
      </w:r>
      <w:r>
        <w:instrText xml:space="preserve"> HYPERLINK "mailto:zhenghua@rcees.ac.cn" </w:instrText>
      </w:r>
      <w:r>
        <w:fldChar w:fldCharType="separate"/>
      </w:r>
      <w:r w:rsidRPr="00A34410">
        <w:rPr>
          <w:rStyle w:val="af4"/>
        </w:rPr>
        <w:t>zhenghua@rcees.ac.cn</w:t>
      </w:r>
      <w:r>
        <w:fldChar w:fldCharType="end"/>
      </w:r>
      <w:r>
        <w:t xml:space="preserve"> (H. Zheng)</w:t>
      </w:r>
      <w:bookmarkEnd w:id="1"/>
    </w:p>
    <w:p w14:paraId="7CB17366" w14:textId="3EA512F4" w:rsidR="009224D4" w:rsidRPr="00F144A4" w:rsidRDefault="009224D4" w:rsidP="009224D4">
      <w:pPr>
        <w:pStyle w:val="6-Corre-ENG"/>
      </w:pPr>
    </w:p>
    <w:p w14:paraId="5DD50111" w14:textId="77777777" w:rsidR="009224D4" w:rsidRDefault="009224D4" w:rsidP="009224D4">
      <w:pPr>
        <w:pStyle w:val="6-Corre-ENG"/>
      </w:pPr>
    </w:p>
    <w:p w14:paraId="7B095838" w14:textId="7786678F" w:rsidR="00695CAB" w:rsidRPr="0024133B" w:rsidRDefault="00695CAB" w:rsidP="00695CAB">
      <w:pPr>
        <w:snapToGrid w:val="0"/>
        <w:spacing w:beforeLines="50" w:before="120" w:afterLines="50" w:after="120" w:line="360" w:lineRule="auto"/>
        <w:rPr>
          <w:rFonts w:ascii="Times New Roman" w:hAnsi="Times New Roman"/>
        </w:rPr>
      </w:pPr>
      <w:r w:rsidRPr="0024133B">
        <w:rPr>
          <w:rFonts w:ascii="Times New Roman" w:hAnsi="Times New Roman"/>
          <w:b/>
        </w:rPr>
        <w:t xml:space="preserve">Table </w:t>
      </w:r>
      <w:r w:rsidR="009224D4">
        <w:rPr>
          <w:rFonts w:ascii="Times New Roman" w:hAnsi="Times New Roman"/>
          <w:b/>
        </w:rPr>
        <w:t>S</w:t>
      </w:r>
      <w:r w:rsidRPr="0024133B">
        <w:rPr>
          <w:rFonts w:ascii="Times New Roman" w:hAnsi="Times New Roman"/>
          <w:b/>
        </w:rPr>
        <w:t xml:space="preserve">1 </w:t>
      </w:r>
      <w:r w:rsidRPr="0024133B">
        <w:rPr>
          <w:rFonts w:ascii="Times New Roman" w:hAnsi="Times New Roman"/>
          <w:b/>
          <w:bCs/>
        </w:rPr>
        <w:t>Full list and documentation of study cases</w:t>
      </w:r>
    </w:p>
    <w:tbl>
      <w:tblPr>
        <w:tblW w:w="4927"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423"/>
        <w:gridCol w:w="1850"/>
        <w:gridCol w:w="1272"/>
        <w:gridCol w:w="846"/>
        <w:gridCol w:w="846"/>
        <w:gridCol w:w="846"/>
        <w:gridCol w:w="874"/>
        <w:gridCol w:w="1386"/>
        <w:gridCol w:w="1269"/>
        <w:gridCol w:w="1129"/>
        <w:gridCol w:w="1121"/>
        <w:gridCol w:w="879"/>
      </w:tblGrid>
      <w:tr w:rsidR="00695CAB" w:rsidRPr="0024133B" w14:paraId="5921628F" w14:textId="77777777" w:rsidTr="0075750D">
        <w:trPr>
          <w:tblHeader/>
          <w:jc w:val="center"/>
        </w:trPr>
        <w:tc>
          <w:tcPr>
            <w:tcW w:w="166" w:type="pct"/>
            <w:vMerge w:val="restart"/>
            <w:shd w:val="clear" w:color="auto" w:fill="D9D9D9" w:themeFill="background1" w:themeFillShade="D9"/>
            <w:tcMar>
              <w:top w:w="15" w:type="dxa"/>
              <w:left w:w="15" w:type="dxa"/>
              <w:bottom w:w="0" w:type="dxa"/>
              <w:right w:w="15" w:type="dxa"/>
            </w:tcMar>
            <w:vAlign w:val="center"/>
          </w:tcPr>
          <w:bookmarkEnd w:id="0"/>
          <w:p w14:paraId="308A5847" w14:textId="77777777" w:rsidR="00695CAB" w:rsidRPr="0024133B" w:rsidRDefault="00695CAB" w:rsidP="0075750D">
            <w:pPr>
              <w:spacing w:before="120" w:after="120"/>
              <w:jc w:val="center"/>
              <w:rPr>
                <w:rFonts w:ascii="Times New Roman" w:hAnsi="Times New Roman"/>
                <w:b/>
                <w:bCs/>
                <w:i/>
                <w:iCs/>
                <w:kern w:val="0"/>
                <w:szCs w:val="21"/>
              </w:rPr>
            </w:pPr>
            <w:r w:rsidRPr="0024133B">
              <w:rPr>
                <w:rFonts w:ascii="Times New Roman" w:hAnsi="Times New Roman" w:hint="eastAsia"/>
                <w:b/>
                <w:bCs/>
                <w:i/>
                <w:iCs/>
                <w:kern w:val="0"/>
                <w:szCs w:val="21"/>
              </w:rPr>
              <w:t>ID</w:t>
            </w:r>
          </w:p>
        </w:tc>
        <w:tc>
          <w:tcPr>
            <w:tcW w:w="2564" w:type="pct"/>
            <w:gridSpan w:val="6"/>
            <w:shd w:val="clear" w:color="auto" w:fill="D9D9D9" w:themeFill="background1" w:themeFillShade="D9"/>
            <w:tcMar>
              <w:top w:w="15" w:type="dxa"/>
              <w:left w:w="15" w:type="dxa"/>
              <w:bottom w:w="0" w:type="dxa"/>
              <w:right w:w="15" w:type="dxa"/>
            </w:tcMar>
            <w:vAlign w:val="center"/>
          </w:tcPr>
          <w:p w14:paraId="4669600D" w14:textId="77777777" w:rsidR="00695CAB" w:rsidRPr="0024133B" w:rsidRDefault="00695CAB" w:rsidP="0075750D">
            <w:pPr>
              <w:widowControl/>
              <w:spacing w:before="120" w:after="120"/>
              <w:jc w:val="center"/>
              <w:rPr>
                <w:rFonts w:ascii="Times New Roman" w:hAnsi="Times New Roman"/>
                <w:b/>
                <w:bCs/>
                <w:kern w:val="0"/>
                <w:szCs w:val="21"/>
              </w:rPr>
            </w:pPr>
            <w:r w:rsidRPr="0024133B">
              <w:rPr>
                <w:rFonts w:ascii="Times New Roman" w:hAnsi="Times New Roman"/>
                <w:b/>
                <w:bCs/>
                <w:kern w:val="0"/>
                <w:szCs w:val="21"/>
              </w:rPr>
              <w:t>Study site information and participation willingness</w:t>
            </w:r>
          </w:p>
        </w:tc>
        <w:tc>
          <w:tcPr>
            <w:tcW w:w="2270" w:type="pct"/>
            <w:gridSpan w:val="5"/>
            <w:vMerge w:val="restart"/>
            <w:shd w:val="clear" w:color="auto" w:fill="D9D9D9" w:themeFill="background1" w:themeFillShade="D9"/>
            <w:noWrap/>
            <w:tcMar>
              <w:top w:w="15" w:type="dxa"/>
              <w:left w:w="15" w:type="dxa"/>
              <w:bottom w:w="0" w:type="dxa"/>
              <w:right w:w="15" w:type="dxa"/>
            </w:tcMar>
            <w:vAlign w:val="center"/>
          </w:tcPr>
          <w:p w14:paraId="5396BEC5" w14:textId="77777777" w:rsidR="00695CAB" w:rsidRPr="0024133B" w:rsidRDefault="00695CAB" w:rsidP="0075750D">
            <w:pPr>
              <w:spacing w:before="120" w:after="120"/>
              <w:jc w:val="center"/>
              <w:rPr>
                <w:rFonts w:ascii="Times New Roman" w:hAnsi="Times New Roman"/>
                <w:b/>
                <w:bCs/>
                <w:kern w:val="0"/>
                <w:szCs w:val="21"/>
              </w:rPr>
            </w:pPr>
            <w:r w:rsidRPr="0024133B">
              <w:rPr>
                <w:rFonts w:ascii="Times New Roman" w:hAnsi="Times New Roman"/>
                <w:b/>
                <w:bCs/>
                <w:kern w:val="0"/>
                <w:szCs w:val="21"/>
              </w:rPr>
              <w:t>Factors</w:t>
            </w:r>
          </w:p>
        </w:tc>
      </w:tr>
      <w:tr w:rsidR="00695CAB" w:rsidRPr="0024133B" w14:paraId="3648A32D" w14:textId="77777777" w:rsidTr="0075750D">
        <w:trPr>
          <w:tblHeader/>
          <w:jc w:val="center"/>
        </w:trPr>
        <w:tc>
          <w:tcPr>
            <w:tcW w:w="166" w:type="pct"/>
            <w:vMerge/>
            <w:shd w:val="clear" w:color="auto" w:fill="D9D9D9" w:themeFill="background1" w:themeFillShade="D9"/>
            <w:tcMar>
              <w:top w:w="15" w:type="dxa"/>
              <w:left w:w="15" w:type="dxa"/>
              <w:bottom w:w="0" w:type="dxa"/>
              <w:right w:w="15" w:type="dxa"/>
            </w:tcMar>
            <w:vAlign w:val="center"/>
          </w:tcPr>
          <w:p w14:paraId="70CEDD5D" w14:textId="77777777" w:rsidR="00695CAB" w:rsidRPr="0024133B" w:rsidRDefault="00695CAB" w:rsidP="0075750D">
            <w:pPr>
              <w:widowControl/>
              <w:spacing w:before="120" w:after="120"/>
              <w:jc w:val="center"/>
              <w:rPr>
                <w:rFonts w:ascii="Times New Roman" w:hAnsi="Times New Roman"/>
                <w:b/>
                <w:bCs/>
                <w:i/>
                <w:iCs/>
                <w:kern w:val="0"/>
                <w:szCs w:val="21"/>
              </w:rPr>
            </w:pPr>
          </w:p>
        </w:tc>
        <w:tc>
          <w:tcPr>
            <w:tcW w:w="726" w:type="pct"/>
            <w:vMerge w:val="restart"/>
            <w:shd w:val="clear" w:color="auto" w:fill="D9D9D9" w:themeFill="background1" w:themeFillShade="D9"/>
            <w:tcMar>
              <w:top w:w="15" w:type="dxa"/>
              <w:left w:w="15" w:type="dxa"/>
              <w:bottom w:w="0" w:type="dxa"/>
              <w:right w:w="15" w:type="dxa"/>
            </w:tcMar>
            <w:vAlign w:val="center"/>
          </w:tcPr>
          <w:p w14:paraId="4B0F3BAF" w14:textId="77777777" w:rsidR="00695CAB" w:rsidRPr="0024133B" w:rsidRDefault="00695CAB" w:rsidP="0075750D">
            <w:pPr>
              <w:widowControl/>
              <w:spacing w:before="120" w:after="120"/>
              <w:jc w:val="center"/>
              <w:rPr>
                <w:rFonts w:ascii="Times New Roman" w:hAnsi="Times New Roman"/>
                <w:b/>
                <w:bCs/>
                <w:i/>
                <w:iCs/>
                <w:kern w:val="0"/>
                <w:szCs w:val="21"/>
              </w:rPr>
            </w:pPr>
            <w:r w:rsidRPr="0024133B">
              <w:rPr>
                <w:rFonts w:ascii="Times New Roman" w:hAnsi="Times New Roman"/>
                <w:b/>
                <w:bCs/>
                <w:i/>
                <w:iCs/>
                <w:kern w:val="0"/>
                <w:szCs w:val="21"/>
              </w:rPr>
              <w:t>Region/place</w:t>
            </w:r>
          </w:p>
        </w:tc>
        <w:tc>
          <w:tcPr>
            <w:tcW w:w="499" w:type="pct"/>
            <w:vMerge w:val="restart"/>
            <w:shd w:val="clear" w:color="auto" w:fill="D9D9D9" w:themeFill="background1" w:themeFillShade="D9"/>
            <w:vAlign w:val="center"/>
          </w:tcPr>
          <w:p w14:paraId="22718F01" w14:textId="77777777" w:rsidR="00695CAB" w:rsidRPr="0024133B" w:rsidRDefault="00695CAB" w:rsidP="0075750D">
            <w:pPr>
              <w:widowControl/>
              <w:spacing w:before="120" w:after="120"/>
              <w:jc w:val="center"/>
              <w:rPr>
                <w:rFonts w:ascii="Times New Roman" w:hAnsi="Times New Roman"/>
                <w:b/>
                <w:bCs/>
                <w:i/>
                <w:iCs/>
                <w:kern w:val="0"/>
                <w:szCs w:val="21"/>
              </w:rPr>
            </w:pPr>
            <w:r w:rsidRPr="0024133B">
              <w:rPr>
                <w:rFonts w:ascii="Times New Roman" w:hAnsi="Times New Roman"/>
                <w:b/>
                <w:bCs/>
                <w:i/>
                <w:iCs/>
                <w:kern w:val="0"/>
                <w:szCs w:val="21"/>
              </w:rPr>
              <w:t>Interviewed people</w:t>
            </w:r>
          </w:p>
        </w:tc>
        <w:tc>
          <w:tcPr>
            <w:tcW w:w="995" w:type="pct"/>
            <w:gridSpan w:val="3"/>
            <w:shd w:val="clear" w:color="auto" w:fill="D9D9D9" w:themeFill="background1" w:themeFillShade="D9"/>
            <w:tcMar>
              <w:top w:w="15" w:type="dxa"/>
              <w:left w:w="15" w:type="dxa"/>
              <w:bottom w:w="0" w:type="dxa"/>
              <w:right w:w="15" w:type="dxa"/>
            </w:tcMar>
            <w:vAlign w:val="center"/>
          </w:tcPr>
          <w:p w14:paraId="7987D873" w14:textId="77777777" w:rsidR="00695CAB" w:rsidRPr="0024133B" w:rsidRDefault="00695CAB" w:rsidP="0075750D">
            <w:pPr>
              <w:widowControl/>
              <w:spacing w:before="120" w:after="120"/>
              <w:jc w:val="center"/>
              <w:rPr>
                <w:rFonts w:ascii="Times New Roman" w:hAnsi="Times New Roman"/>
                <w:b/>
                <w:bCs/>
                <w:i/>
                <w:iCs/>
                <w:kern w:val="0"/>
                <w:szCs w:val="21"/>
              </w:rPr>
            </w:pPr>
            <w:r w:rsidRPr="0024133B">
              <w:rPr>
                <w:rFonts w:ascii="Times New Roman" w:hAnsi="Times New Roman"/>
                <w:b/>
                <w:bCs/>
                <w:i/>
                <w:iCs/>
                <w:kern w:val="0"/>
                <w:szCs w:val="21"/>
              </w:rPr>
              <w:t>Participation willingness</w:t>
            </w:r>
          </w:p>
        </w:tc>
        <w:tc>
          <w:tcPr>
            <w:tcW w:w="343" w:type="pct"/>
            <w:vMerge w:val="restart"/>
            <w:shd w:val="clear" w:color="auto" w:fill="D9D9D9" w:themeFill="background1" w:themeFillShade="D9"/>
            <w:vAlign w:val="center"/>
          </w:tcPr>
          <w:p w14:paraId="6B87B1BB" w14:textId="77777777" w:rsidR="00695CAB" w:rsidRPr="0024133B" w:rsidRDefault="00695CAB" w:rsidP="0075750D">
            <w:pPr>
              <w:spacing w:before="120" w:after="120"/>
              <w:jc w:val="center"/>
              <w:rPr>
                <w:rFonts w:ascii="Times New Roman" w:hAnsi="Times New Roman"/>
                <w:b/>
                <w:bCs/>
                <w:kern w:val="0"/>
                <w:szCs w:val="21"/>
              </w:rPr>
            </w:pPr>
            <w:r w:rsidRPr="0024133B">
              <w:rPr>
                <w:rFonts w:ascii="Times New Roman" w:hAnsi="Times New Roman"/>
                <w:b/>
                <w:bCs/>
                <w:kern w:val="0"/>
                <w:szCs w:val="21"/>
              </w:rPr>
              <w:t>Study time</w:t>
            </w:r>
          </w:p>
        </w:tc>
        <w:tc>
          <w:tcPr>
            <w:tcW w:w="2270" w:type="pct"/>
            <w:gridSpan w:val="5"/>
            <w:vMerge/>
            <w:shd w:val="clear" w:color="auto" w:fill="D9D9D9" w:themeFill="background1" w:themeFillShade="D9"/>
            <w:noWrap/>
            <w:tcMar>
              <w:top w:w="15" w:type="dxa"/>
              <w:left w:w="15" w:type="dxa"/>
              <w:bottom w:w="0" w:type="dxa"/>
              <w:right w:w="15" w:type="dxa"/>
            </w:tcMar>
            <w:vAlign w:val="center"/>
          </w:tcPr>
          <w:p w14:paraId="4FBA39CF" w14:textId="77777777" w:rsidR="00695CAB" w:rsidRPr="0024133B" w:rsidRDefault="00695CAB" w:rsidP="0075750D">
            <w:pPr>
              <w:spacing w:before="120" w:after="120"/>
              <w:jc w:val="center"/>
              <w:rPr>
                <w:rFonts w:ascii="Times New Roman" w:hAnsi="Times New Roman"/>
                <w:b/>
                <w:bCs/>
                <w:kern w:val="0"/>
                <w:szCs w:val="21"/>
              </w:rPr>
            </w:pPr>
          </w:p>
        </w:tc>
      </w:tr>
      <w:tr w:rsidR="00695CAB" w:rsidRPr="0024133B" w14:paraId="5AD97450" w14:textId="77777777" w:rsidTr="0075750D">
        <w:trPr>
          <w:tblHeader/>
          <w:jc w:val="center"/>
        </w:trPr>
        <w:tc>
          <w:tcPr>
            <w:tcW w:w="166" w:type="pct"/>
            <w:vMerge/>
            <w:shd w:val="clear" w:color="auto" w:fill="D9D9D9" w:themeFill="background1" w:themeFillShade="D9"/>
            <w:tcMar>
              <w:top w:w="15" w:type="dxa"/>
              <w:left w:w="15" w:type="dxa"/>
              <w:bottom w:w="0" w:type="dxa"/>
              <w:right w:w="15" w:type="dxa"/>
            </w:tcMar>
            <w:vAlign w:val="center"/>
          </w:tcPr>
          <w:p w14:paraId="1BA8BB2F" w14:textId="77777777" w:rsidR="00695CAB" w:rsidRPr="0024133B" w:rsidRDefault="00695CAB" w:rsidP="0075750D">
            <w:pPr>
              <w:widowControl/>
              <w:spacing w:before="120" w:after="120"/>
              <w:jc w:val="center"/>
              <w:rPr>
                <w:rFonts w:ascii="Times New Roman" w:hAnsi="Times New Roman"/>
                <w:b/>
                <w:bCs/>
                <w:i/>
                <w:iCs/>
                <w:kern w:val="0"/>
                <w:szCs w:val="21"/>
              </w:rPr>
            </w:pPr>
          </w:p>
        </w:tc>
        <w:tc>
          <w:tcPr>
            <w:tcW w:w="726" w:type="pct"/>
            <w:vMerge/>
            <w:shd w:val="clear" w:color="auto" w:fill="D9D9D9" w:themeFill="background1" w:themeFillShade="D9"/>
            <w:tcMar>
              <w:top w:w="15" w:type="dxa"/>
              <w:left w:w="15" w:type="dxa"/>
              <w:bottom w:w="0" w:type="dxa"/>
              <w:right w:w="15" w:type="dxa"/>
            </w:tcMar>
            <w:vAlign w:val="center"/>
          </w:tcPr>
          <w:p w14:paraId="3321B8A4" w14:textId="77777777" w:rsidR="00695CAB" w:rsidRPr="0024133B" w:rsidRDefault="00695CAB" w:rsidP="0075750D">
            <w:pPr>
              <w:widowControl/>
              <w:spacing w:before="120" w:after="120"/>
              <w:jc w:val="center"/>
              <w:rPr>
                <w:rFonts w:ascii="Times New Roman" w:hAnsi="Times New Roman"/>
                <w:b/>
                <w:bCs/>
                <w:i/>
                <w:iCs/>
                <w:kern w:val="0"/>
                <w:szCs w:val="21"/>
              </w:rPr>
            </w:pPr>
          </w:p>
        </w:tc>
        <w:tc>
          <w:tcPr>
            <w:tcW w:w="499" w:type="pct"/>
            <w:vMerge/>
            <w:shd w:val="clear" w:color="auto" w:fill="D9D9D9" w:themeFill="background1" w:themeFillShade="D9"/>
            <w:vAlign w:val="center"/>
          </w:tcPr>
          <w:p w14:paraId="2FB538C1" w14:textId="77777777" w:rsidR="00695CAB" w:rsidRPr="0024133B" w:rsidRDefault="00695CAB" w:rsidP="0075750D">
            <w:pPr>
              <w:widowControl/>
              <w:spacing w:before="120" w:after="120"/>
              <w:jc w:val="center"/>
              <w:rPr>
                <w:rFonts w:ascii="Times New Roman" w:hAnsi="Times New Roman"/>
                <w:b/>
                <w:bCs/>
                <w:i/>
                <w:iCs/>
                <w:kern w:val="0"/>
                <w:szCs w:val="21"/>
              </w:rPr>
            </w:pPr>
          </w:p>
        </w:tc>
        <w:tc>
          <w:tcPr>
            <w:tcW w:w="332" w:type="pct"/>
            <w:shd w:val="clear" w:color="auto" w:fill="D9D9D9" w:themeFill="background1" w:themeFillShade="D9"/>
            <w:tcMar>
              <w:top w:w="15" w:type="dxa"/>
              <w:left w:w="15" w:type="dxa"/>
              <w:bottom w:w="0" w:type="dxa"/>
              <w:right w:w="15" w:type="dxa"/>
            </w:tcMar>
            <w:vAlign w:val="center"/>
          </w:tcPr>
          <w:p w14:paraId="564F2166" w14:textId="77777777" w:rsidR="00695CAB" w:rsidRPr="0024133B" w:rsidRDefault="00695CAB" w:rsidP="0075750D">
            <w:pPr>
              <w:widowControl/>
              <w:spacing w:before="120" w:after="120"/>
              <w:jc w:val="center"/>
              <w:rPr>
                <w:rFonts w:ascii="Times New Roman" w:hAnsi="Times New Roman"/>
                <w:b/>
                <w:bCs/>
                <w:i/>
                <w:iCs/>
                <w:kern w:val="0"/>
                <w:szCs w:val="21"/>
              </w:rPr>
            </w:pPr>
            <w:r w:rsidRPr="0024133B">
              <w:rPr>
                <w:rFonts w:ascii="Times New Roman" w:hAnsi="Times New Roman"/>
                <w:b/>
                <w:bCs/>
                <w:i/>
                <w:iCs/>
                <w:kern w:val="0"/>
                <w:szCs w:val="21"/>
              </w:rPr>
              <w:t>Not willing to convert</w:t>
            </w:r>
          </w:p>
          <w:p w14:paraId="34C1255D" w14:textId="77777777" w:rsidR="00695CAB" w:rsidRPr="0024133B" w:rsidRDefault="00695CAB" w:rsidP="0075750D">
            <w:pPr>
              <w:widowControl/>
              <w:spacing w:before="120" w:after="120"/>
              <w:jc w:val="center"/>
              <w:rPr>
                <w:rFonts w:ascii="Times New Roman" w:hAnsi="Times New Roman"/>
                <w:b/>
                <w:bCs/>
                <w:i/>
                <w:iCs/>
                <w:kern w:val="0"/>
                <w:szCs w:val="21"/>
              </w:rPr>
            </w:pPr>
            <w:r w:rsidRPr="0024133B">
              <w:rPr>
                <w:rFonts w:ascii="Times New Roman" w:hAnsi="Times New Roman"/>
                <w:b/>
                <w:bCs/>
                <w:i/>
                <w:iCs/>
                <w:kern w:val="0"/>
                <w:szCs w:val="21"/>
              </w:rPr>
              <w:t>(%)</w:t>
            </w:r>
          </w:p>
        </w:tc>
        <w:tc>
          <w:tcPr>
            <w:tcW w:w="332" w:type="pct"/>
            <w:shd w:val="clear" w:color="auto" w:fill="D9D9D9" w:themeFill="background1" w:themeFillShade="D9"/>
            <w:tcMar>
              <w:top w:w="15" w:type="dxa"/>
              <w:left w:w="15" w:type="dxa"/>
              <w:bottom w:w="0" w:type="dxa"/>
              <w:right w:w="15" w:type="dxa"/>
            </w:tcMar>
            <w:vAlign w:val="center"/>
          </w:tcPr>
          <w:p w14:paraId="70C33C6B" w14:textId="77777777" w:rsidR="00695CAB" w:rsidRPr="0024133B" w:rsidRDefault="00695CAB" w:rsidP="0075750D">
            <w:pPr>
              <w:widowControl/>
              <w:spacing w:before="120" w:after="120"/>
              <w:jc w:val="center"/>
              <w:rPr>
                <w:rFonts w:ascii="Times New Roman" w:hAnsi="Times New Roman"/>
                <w:b/>
                <w:bCs/>
                <w:i/>
                <w:iCs/>
                <w:kern w:val="0"/>
                <w:szCs w:val="21"/>
              </w:rPr>
            </w:pPr>
            <w:r w:rsidRPr="0024133B">
              <w:rPr>
                <w:rFonts w:ascii="Times New Roman" w:hAnsi="Times New Roman"/>
                <w:b/>
                <w:bCs/>
                <w:i/>
                <w:iCs/>
                <w:kern w:val="0"/>
                <w:szCs w:val="21"/>
              </w:rPr>
              <w:t xml:space="preserve">Unclear </w:t>
            </w:r>
          </w:p>
          <w:p w14:paraId="0CF1DAB2" w14:textId="77777777" w:rsidR="00695CAB" w:rsidRPr="0024133B" w:rsidRDefault="00695CAB" w:rsidP="0075750D">
            <w:pPr>
              <w:widowControl/>
              <w:spacing w:before="120" w:after="120"/>
              <w:jc w:val="center"/>
              <w:rPr>
                <w:rFonts w:ascii="Times New Roman" w:hAnsi="Times New Roman"/>
                <w:b/>
                <w:bCs/>
                <w:i/>
                <w:iCs/>
                <w:kern w:val="0"/>
                <w:szCs w:val="21"/>
              </w:rPr>
            </w:pPr>
            <w:r w:rsidRPr="0024133B">
              <w:rPr>
                <w:rFonts w:ascii="Times New Roman" w:hAnsi="Times New Roman"/>
                <w:b/>
                <w:bCs/>
                <w:i/>
                <w:iCs/>
                <w:kern w:val="0"/>
                <w:szCs w:val="21"/>
              </w:rPr>
              <w:t>(%)</w:t>
            </w:r>
          </w:p>
        </w:tc>
        <w:tc>
          <w:tcPr>
            <w:tcW w:w="332" w:type="pct"/>
            <w:shd w:val="clear" w:color="auto" w:fill="D9D9D9" w:themeFill="background1" w:themeFillShade="D9"/>
            <w:tcMar>
              <w:top w:w="15" w:type="dxa"/>
              <w:left w:w="15" w:type="dxa"/>
              <w:bottom w:w="0" w:type="dxa"/>
              <w:right w:w="15" w:type="dxa"/>
            </w:tcMar>
            <w:vAlign w:val="center"/>
          </w:tcPr>
          <w:p w14:paraId="355FA207" w14:textId="77777777" w:rsidR="00695CAB" w:rsidRPr="0024133B" w:rsidRDefault="00695CAB" w:rsidP="0075750D">
            <w:pPr>
              <w:widowControl/>
              <w:spacing w:before="120" w:after="120"/>
              <w:jc w:val="center"/>
              <w:rPr>
                <w:rFonts w:ascii="Times New Roman" w:hAnsi="Times New Roman"/>
                <w:b/>
                <w:bCs/>
                <w:i/>
                <w:iCs/>
                <w:kern w:val="0"/>
                <w:szCs w:val="21"/>
              </w:rPr>
            </w:pPr>
            <w:r w:rsidRPr="0024133B">
              <w:rPr>
                <w:rFonts w:ascii="Times New Roman" w:hAnsi="Times New Roman"/>
                <w:b/>
                <w:bCs/>
                <w:i/>
                <w:iCs/>
                <w:kern w:val="0"/>
                <w:szCs w:val="21"/>
              </w:rPr>
              <w:t>Willing to convert</w:t>
            </w:r>
          </w:p>
          <w:p w14:paraId="30D7A556" w14:textId="77777777" w:rsidR="00695CAB" w:rsidRPr="0024133B" w:rsidRDefault="00695CAB" w:rsidP="0075750D">
            <w:pPr>
              <w:widowControl/>
              <w:spacing w:before="120" w:after="120"/>
              <w:jc w:val="center"/>
              <w:rPr>
                <w:rFonts w:ascii="Times New Roman" w:hAnsi="Times New Roman"/>
                <w:b/>
                <w:bCs/>
                <w:i/>
                <w:iCs/>
                <w:kern w:val="0"/>
                <w:szCs w:val="21"/>
              </w:rPr>
            </w:pPr>
            <w:r w:rsidRPr="0024133B">
              <w:rPr>
                <w:rFonts w:ascii="Times New Roman" w:hAnsi="Times New Roman"/>
                <w:b/>
                <w:bCs/>
                <w:i/>
                <w:iCs/>
                <w:kern w:val="0"/>
                <w:szCs w:val="21"/>
              </w:rPr>
              <w:t>(%)</w:t>
            </w:r>
          </w:p>
        </w:tc>
        <w:tc>
          <w:tcPr>
            <w:tcW w:w="343" w:type="pct"/>
            <w:vMerge/>
            <w:shd w:val="clear" w:color="auto" w:fill="D9D9D9" w:themeFill="background1" w:themeFillShade="D9"/>
            <w:vAlign w:val="center"/>
          </w:tcPr>
          <w:p w14:paraId="5BEE8FF5" w14:textId="77777777" w:rsidR="00695CAB" w:rsidRPr="0024133B" w:rsidRDefault="00695CAB" w:rsidP="0075750D">
            <w:pPr>
              <w:widowControl/>
              <w:spacing w:before="120" w:after="120"/>
              <w:jc w:val="center"/>
              <w:rPr>
                <w:rFonts w:ascii="Times New Roman" w:hAnsi="Times New Roman"/>
                <w:b/>
                <w:bCs/>
                <w:kern w:val="0"/>
                <w:szCs w:val="21"/>
              </w:rPr>
            </w:pPr>
          </w:p>
        </w:tc>
        <w:tc>
          <w:tcPr>
            <w:tcW w:w="2270" w:type="pct"/>
            <w:gridSpan w:val="5"/>
            <w:vMerge/>
            <w:shd w:val="clear" w:color="auto" w:fill="D9D9D9" w:themeFill="background1" w:themeFillShade="D9"/>
            <w:noWrap/>
            <w:tcMar>
              <w:top w:w="15" w:type="dxa"/>
              <w:left w:w="15" w:type="dxa"/>
              <w:bottom w:w="0" w:type="dxa"/>
              <w:right w:w="15" w:type="dxa"/>
            </w:tcMar>
            <w:vAlign w:val="center"/>
          </w:tcPr>
          <w:p w14:paraId="6A15A14A" w14:textId="77777777" w:rsidR="00695CAB" w:rsidRPr="0024133B" w:rsidRDefault="00695CAB" w:rsidP="0075750D">
            <w:pPr>
              <w:widowControl/>
              <w:spacing w:before="120" w:after="120"/>
              <w:jc w:val="center"/>
              <w:rPr>
                <w:rFonts w:ascii="Times New Roman" w:hAnsi="Times New Roman"/>
                <w:b/>
                <w:bCs/>
                <w:kern w:val="0"/>
                <w:szCs w:val="21"/>
              </w:rPr>
            </w:pPr>
          </w:p>
        </w:tc>
      </w:tr>
      <w:tr w:rsidR="00695CAB" w:rsidRPr="0024133B" w14:paraId="482C6B13" w14:textId="77777777" w:rsidTr="0075750D">
        <w:trPr>
          <w:trHeight w:val="205"/>
          <w:jc w:val="center"/>
        </w:trPr>
        <w:tc>
          <w:tcPr>
            <w:tcW w:w="166" w:type="pct"/>
            <w:shd w:val="clear" w:color="auto" w:fill="auto"/>
            <w:noWrap/>
            <w:tcMar>
              <w:top w:w="15" w:type="dxa"/>
              <w:left w:w="15" w:type="dxa"/>
              <w:bottom w:w="0" w:type="dxa"/>
              <w:right w:w="15" w:type="dxa"/>
            </w:tcMar>
            <w:vAlign w:val="center"/>
            <w:hideMark/>
          </w:tcPr>
          <w:p w14:paraId="6350187F"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w:t>
            </w:r>
          </w:p>
        </w:tc>
        <w:tc>
          <w:tcPr>
            <w:tcW w:w="726" w:type="pct"/>
            <w:shd w:val="clear" w:color="auto" w:fill="auto"/>
            <w:tcMar>
              <w:top w:w="15" w:type="dxa"/>
              <w:left w:w="15" w:type="dxa"/>
              <w:bottom w:w="0" w:type="dxa"/>
              <w:right w:w="15" w:type="dxa"/>
            </w:tcMar>
            <w:vAlign w:val="center"/>
            <w:hideMark/>
          </w:tcPr>
          <w:p w14:paraId="12C8AE82"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Ningxia (</w:t>
            </w:r>
            <w:proofErr w:type="spellStart"/>
            <w:r w:rsidRPr="0024133B">
              <w:rPr>
                <w:rFonts w:ascii="Times New Roman" w:hAnsi="Times New Roman"/>
                <w:kern w:val="0"/>
                <w:szCs w:val="21"/>
              </w:rPr>
              <w:t>Tongxing</w:t>
            </w:r>
            <w:proofErr w:type="spellEnd"/>
            <w:r w:rsidRPr="0024133B">
              <w:rPr>
                <w:rFonts w:ascii="Times New Roman" w:hAnsi="Times New Roman"/>
                <w:kern w:val="0"/>
                <w:szCs w:val="21"/>
              </w:rPr>
              <w:t xml:space="preserve">, </w:t>
            </w:r>
            <w:proofErr w:type="spellStart"/>
            <w:r w:rsidRPr="0024133B">
              <w:rPr>
                <w:rFonts w:ascii="Times New Roman" w:hAnsi="Times New Roman"/>
                <w:kern w:val="0"/>
                <w:szCs w:val="21"/>
              </w:rPr>
              <w:t>Pengyang</w:t>
            </w:r>
            <w:proofErr w:type="spellEnd"/>
            <w:r w:rsidRPr="0024133B">
              <w:rPr>
                <w:rFonts w:ascii="Times New Roman" w:hAnsi="Times New Roman"/>
                <w:kern w:val="0"/>
                <w:szCs w:val="21"/>
              </w:rPr>
              <w:t xml:space="preserve"> and </w:t>
            </w:r>
            <w:proofErr w:type="spellStart"/>
            <w:r w:rsidRPr="0024133B">
              <w:rPr>
                <w:rFonts w:ascii="Times New Roman" w:hAnsi="Times New Roman"/>
                <w:kern w:val="0"/>
                <w:szCs w:val="21"/>
              </w:rPr>
              <w:t>Xiji</w:t>
            </w:r>
            <w:proofErr w:type="spellEnd"/>
            <w:r w:rsidRPr="0024133B">
              <w:rPr>
                <w:rFonts w:ascii="Times New Roman" w:hAnsi="Times New Roman"/>
                <w:kern w:val="0"/>
                <w:szCs w:val="21"/>
              </w:rPr>
              <w:t xml:space="preserve">)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XuiUrxY7","properties":{"formattedCitation":"[58]","plainCitation":"[58]","noteIndex":0},"citationItems":[{"id":"IuHaWYsY/WL8f2o4C","uris":["http://zotero.org/users/local/nuU8Soog/items/QMYYTL9A"],"itemData":{"id":133,"type":"article-journal","container-title":"China Economic Review","language":"en","page":"499-511","source":"www.narcis.nl","title":"Do trust and property security increase households' contributions to public goods? : the case of sloping land conservation program resource in rural China","title-short":"Do trust and property security increase households' contributions to public goods?","volume":"22","author":[{"literal":"Tu, Q."},{"literal":"Lei Zhang,"},{"literal":"Mol, A.P.J."},{"literal":"Ruben, R."}],"issued":{"date-parts":[["2006"]]}}}],"schema":"https://github.com/citation-style-language/schema/raw/master/csl-citation.json"}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[58]</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37DB7A0F"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349 householders</w:t>
            </w:r>
          </w:p>
        </w:tc>
        <w:tc>
          <w:tcPr>
            <w:tcW w:w="332" w:type="pct"/>
            <w:shd w:val="clear" w:color="auto" w:fill="auto"/>
            <w:tcMar>
              <w:top w:w="15" w:type="dxa"/>
              <w:left w:w="15" w:type="dxa"/>
              <w:bottom w:w="0" w:type="dxa"/>
              <w:right w:w="15" w:type="dxa"/>
            </w:tcMar>
            <w:vAlign w:val="center"/>
            <w:hideMark/>
          </w:tcPr>
          <w:p w14:paraId="79E65A34"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18.3</w:t>
            </w:r>
          </w:p>
        </w:tc>
        <w:tc>
          <w:tcPr>
            <w:tcW w:w="332" w:type="pct"/>
            <w:shd w:val="clear" w:color="auto" w:fill="auto"/>
            <w:tcMar>
              <w:top w:w="15" w:type="dxa"/>
              <w:left w:w="15" w:type="dxa"/>
              <w:bottom w:w="0" w:type="dxa"/>
              <w:right w:w="15" w:type="dxa"/>
            </w:tcMar>
            <w:vAlign w:val="center"/>
            <w:hideMark/>
          </w:tcPr>
          <w:p w14:paraId="151F650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34.8</w:t>
            </w:r>
          </w:p>
        </w:tc>
        <w:tc>
          <w:tcPr>
            <w:tcW w:w="332" w:type="pct"/>
            <w:shd w:val="clear" w:color="auto" w:fill="auto"/>
            <w:tcMar>
              <w:top w:w="15" w:type="dxa"/>
              <w:left w:w="15" w:type="dxa"/>
              <w:bottom w:w="0" w:type="dxa"/>
              <w:right w:w="15" w:type="dxa"/>
            </w:tcMar>
            <w:vAlign w:val="center"/>
            <w:hideMark/>
          </w:tcPr>
          <w:p w14:paraId="70741D0D"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46.9</w:t>
            </w:r>
          </w:p>
        </w:tc>
        <w:tc>
          <w:tcPr>
            <w:tcW w:w="343" w:type="pct"/>
            <w:shd w:val="clear" w:color="auto" w:fill="auto"/>
            <w:noWrap/>
            <w:tcMar>
              <w:top w:w="15" w:type="dxa"/>
              <w:left w:w="15" w:type="dxa"/>
              <w:bottom w:w="0" w:type="dxa"/>
              <w:right w:w="15" w:type="dxa"/>
            </w:tcMar>
            <w:vAlign w:val="center"/>
            <w:hideMark/>
          </w:tcPr>
          <w:p w14:paraId="318B758F"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2006</w:t>
            </w:r>
          </w:p>
        </w:tc>
        <w:tc>
          <w:tcPr>
            <w:tcW w:w="544" w:type="pct"/>
            <w:shd w:val="clear" w:color="auto" w:fill="auto"/>
            <w:tcMar>
              <w:top w:w="15" w:type="dxa"/>
              <w:left w:w="15" w:type="dxa"/>
              <w:bottom w:w="0" w:type="dxa"/>
              <w:right w:w="15" w:type="dxa"/>
            </w:tcMar>
            <w:vAlign w:val="center"/>
            <w:hideMark/>
          </w:tcPr>
          <w:p w14:paraId="4E29AFE9"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Sex of householder</w:t>
            </w:r>
          </w:p>
        </w:tc>
        <w:tc>
          <w:tcPr>
            <w:tcW w:w="498" w:type="pct"/>
            <w:shd w:val="clear" w:color="auto" w:fill="auto"/>
            <w:tcMar>
              <w:top w:w="15" w:type="dxa"/>
              <w:left w:w="15" w:type="dxa"/>
              <w:bottom w:w="0" w:type="dxa"/>
              <w:right w:w="15" w:type="dxa"/>
            </w:tcMar>
            <w:vAlign w:val="center"/>
            <w:hideMark/>
          </w:tcPr>
          <w:p w14:paraId="304E69FE"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Education level</w:t>
            </w:r>
          </w:p>
        </w:tc>
        <w:tc>
          <w:tcPr>
            <w:tcW w:w="443" w:type="pct"/>
            <w:shd w:val="clear" w:color="auto" w:fill="auto"/>
            <w:tcMar>
              <w:top w:w="15" w:type="dxa"/>
              <w:left w:w="15" w:type="dxa"/>
              <w:bottom w:w="0" w:type="dxa"/>
              <w:right w:w="15" w:type="dxa"/>
            </w:tcMar>
            <w:vAlign w:val="center"/>
            <w:hideMark/>
          </w:tcPr>
          <w:p w14:paraId="4B4501C6"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Off-farm opportunity</w:t>
            </w:r>
          </w:p>
        </w:tc>
        <w:tc>
          <w:tcPr>
            <w:tcW w:w="440" w:type="pct"/>
            <w:shd w:val="clear" w:color="auto" w:fill="auto"/>
            <w:tcMar>
              <w:top w:w="15" w:type="dxa"/>
              <w:left w:w="15" w:type="dxa"/>
              <w:bottom w:w="0" w:type="dxa"/>
              <w:right w:w="15" w:type="dxa"/>
            </w:tcMar>
            <w:vAlign w:val="center"/>
            <w:hideMark/>
          </w:tcPr>
          <w:p w14:paraId="3161F43A"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Property security</w:t>
            </w:r>
          </w:p>
        </w:tc>
        <w:tc>
          <w:tcPr>
            <w:tcW w:w="345" w:type="pct"/>
            <w:shd w:val="clear" w:color="auto" w:fill="auto"/>
            <w:tcMar>
              <w:top w:w="15" w:type="dxa"/>
              <w:left w:w="15" w:type="dxa"/>
              <w:bottom w:w="0" w:type="dxa"/>
              <w:right w:w="15" w:type="dxa"/>
            </w:tcMar>
            <w:vAlign w:val="center"/>
            <w:hideMark/>
          </w:tcPr>
          <w:p w14:paraId="15E3331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General trust</w:t>
            </w:r>
          </w:p>
        </w:tc>
      </w:tr>
      <w:tr w:rsidR="00695CAB" w:rsidRPr="0024133B" w14:paraId="09645603" w14:textId="77777777" w:rsidTr="0075750D">
        <w:trPr>
          <w:trHeight w:val="126"/>
          <w:jc w:val="center"/>
        </w:trPr>
        <w:tc>
          <w:tcPr>
            <w:tcW w:w="166" w:type="pct"/>
            <w:shd w:val="clear" w:color="auto" w:fill="auto"/>
            <w:tcMar>
              <w:top w:w="15" w:type="dxa"/>
              <w:left w:w="15" w:type="dxa"/>
              <w:bottom w:w="0" w:type="dxa"/>
              <w:right w:w="15" w:type="dxa"/>
            </w:tcMar>
            <w:vAlign w:val="center"/>
            <w:hideMark/>
          </w:tcPr>
          <w:p w14:paraId="6B1490B1"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w:t>
            </w:r>
          </w:p>
        </w:tc>
        <w:tc>
          <w:tcPr>
            <w:tcW w:w="726" w:type="pct"/>
            <w:shd w:val="clear" w:color="auto" w:fill="auto"/>
            <w:tcMar>
              <w:top w:w="15" w:type="dxa"/>
              <w:left w:w="15" w:type="dxa"/>
              <w:bottom w:w="0" w:type="dxa"/>
              <w:right w:w="15" w:type="dxa"/>
            </w:tcMar>
            <w:vAlign w:val="center"/>
            <w:hideMark/>
          </w:tcPr>
          <w:p w14:paraId="0EFFB982"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Ningxia (</w:t>
            </w:r>
            <w:proofErr w:type="spellStart"/>
            <w:r w:rsidRPr="0024133B">
              <w:rPr>
                <w:rFonts w:ascii="Times New Roman" w:hAnsi="Times New Roman"/>
                <w:kern w:val="0"/>
                <w:szCs w:val="21"/>
              </w:rPr>
              <w:t>Guyuan</w:t>
            </w:r>
            <w:proofErr w:type="spellEnd"/>
            <w:r w:rsidRPr="0024133B">
              <w:rPr>
                <w:rFonts w:ascii="Times New Roman" w:hAnsi="Times New Roman"/>
                <w:kern w:val="0"/>
                <w:szCs w:val="21"/>
              </w:rPr>
              <w:t>/</w:t>
            </w:r>
            <w:proofErr w:type="spellStart"/>
            <w:r w:rsidRPr="0024133B">
              <w:rPr>
                <w:rFonts w:ascii="Times New Roman" w:hAnsi="Times New Roman"/>
                <w:kern w:val="0"/>
                <w:szCs w:val="21"/>
              </w:rPr>
              <w:t>Jingyuan</w:t>
            </w:r>
            <w:proofErr w:type="spellEnd"/>
            <w:r w:rsidRPr="0024133B">
              <w:rPr>
                <w:rFonts w:ascii="Times New Roman" w:hAnsi="Times New Roman"/>
                <w:kern w:val="0"/>
                <w:szCs w:val="21"/>
              </w:rPr>
              <w:t xml:space="preserve">)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G2tDxvmm","properties":{"formattedCitation":"[16]","plainCitation":"[16]","noteIndex":0},"citationItems":[{"id":"IuHaWYsY/NhxMAcuQ","uris":["http://zotero.org/users/local/nuU8Soog/items/I9F3TH3K"],"itemData":{"id":136,"type":"article-journal","container-title":"Ecosystems and People","DOI":"10.1080/26395916.2019.1676311","ISSN":"2639-5908, 2639-5916","issue":"1","journalAbbreviation":"Ecosystems and People","language":"en","page":"317-330","source":"DOI.org (Crossref)","title":"How socioeconomic and institutional conditions at the household level shape the environmental effectiveness of governmental payments for ecosystem services program","volume":"15","author":[{"family":"Chen","given":"Cheng"},{"family":"Matzdorf","given":"Bettina"},{"family":"Meyer","given":"Claas"},{"family":"König","given":"Hannes J."},{"family":"Zhen","given":"Lin"}],"issued":{"date-parts":[["2019",1,1]]}}}],"schema":"https://github.com/citation-style-language/schema/raw/master/csl-citation.json"}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[16]</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037C7697"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59 householders</w:t>
            </w:r>
          </w:p>
        </w:tc>
        <w:tc>
          <w:tcPr>
            <w:tcW w:w="332" w:type="pct"/>
            <w:shd w:val="clear" w:color="auto" w:fill="auto"/>
            <w:tcMar>
              <w:top w:w="15" w:type="dxa"/>
              <w:left w:w="15" w:type="dxa"/>
              <w:bottom w:w="0" w:type="dxa"/>
              <w:right w:w="15" w:type="dxa"/>
            </w:tcMar>
            <w:vAlign w:val="center"/>
            <w:hideMark/>
          </w:tcPr>
          <w:p w14:paraId="58DE2179"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15.3</w:t>
            </w:r>
          </w:p>
        </w:tc>
        <w:tc>
          <w:tcPr>
            <w:tcW w:w="332" w:type="pct"/>
            <w:shd w:val="clear" w:color="auto" w:fill="auto"/>
            <w:tcMar>
              <w:top w:w="15" w:type="dxa"/>
              <w:left w:w="15" w:type="dxa"/>
              <w:bottom w:w="0" w:type="dxa"/>
              <w:right w:w="15" w:type="dxa"/>
            </w:tcMar>
            <w:vAlign w:val="center"/>
            <w:hideMark/>
          </w:tcPr>
          <w:p w14:paraId="5CB6F5A6"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74.5</w:t>
            </w:r>
          </w:p>
        </w:tc>
        <w:tc>
          <w:tcPr>
            <w:tcW w:w="332" w:type="pct"/>
            <w:shd w:val="clear" w:color="auto" w:fill="auto"/>
            <w:tcMar>
              <w:top w:w="15" w:type="dxa"/>
              <w:left w:w="15" w:type="dxa"/>
              <w:bottom w:w="0" w:type="dxa"/>
              <w:right w:w="15" w:type="dxa"/>
            </w:tcMar>
            <w:vAlign w:val="center"/>
            <w:hideMark/>
          </w:tcPr>
          <w:p w14:paraId="71FAC136"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10.2</w:t>
            </w:r>
          </w:p>
        </w:tc>
        <w:tc>
          <w:tcPr>
            <w:tcW w:w="343" w:type="pct"/>
            <w:shd w:val="clear" w:color="auto" w:fill="auto"/>
            <w:tcMar>
              <w:top w:w="15" w:type="dxa"/>
              <w:left w:w="15" w:type="dxa"/>
              <w:bottom w:w="0" w:type="dxa"/>
              <w:right w:w="15" w:type="dxa"/>
            </w:tcMar>
            <w:vAlign w:val="center"/>
            <w:hideMark/>
          </w:tcPr>
          <w:p w14:paraId="3BD321A3"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2014</w:t>
            </w:r>
          </w:p>
        </w:tc>
        <w:tc>
          <w:tcPr>
            <w:tcW w:w="544" w:type="pct"/>
            <w:shd w:val="clear" w:color="auto" w:fill="auto"/>
            <w:tcMar>
              <w:top w:w="15" w:type="dxa"/>
              <w:left w:w="15" w:type="dxa"/>
              <w:bottom w:w="0" w:type="dxa"/>
              <w:right w:w="15" w:type="dxa"/>
            </w:tcMar>
            <w:vAlign w:val="center"/>
            <w:hideMark/>
          </w:tcPr>
          <w:p w14:paraId="2DBE4F2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Effective monitoring</w:t>
            </w:r>
          </w:p>
        </w:tc>
        <w:tc>
          <w:tcPr>
            <w:tcW w:w="498" w:type="pct"/>
            <w:shd w:val="clear" w:color="auto" w:fill="auto"/>
            <w:tcMar>
              <w:top w:w="15" w:type="dxa"/>
              <w:left w:w="15" w:type="dxa"/>
              <w:bottom w:w="0" w:type="dxa"/>
              <w:right w:w="15" w:type="dxa"/>
            </w:tcMar>
            <w:vAlign w:val="center"/>
            <w:hideMark/>
          </w:tcPr>
          <w:p w14:paraId="78EF0B9D"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Household involvement</w:t>
            </w:r>
          </w:p>
        </w:tc>
        <w:tc>
          <w:tcPr>
            <w:tcW w:w="443" w:type="pct"/>
            <w:shd w:val="clear" w:color="auto" w:fill="auto"/>
            <w:tcMar>
              <w:top w:w="15" w:type="dxa"/>
              <w:left w:w="15" w:type="dxa"/>
              <w:bottom w:w="0" w:type="dxa"/>
              <w:right w:w="15" w:type="dxa"/>
            </w:tcMar>
            <w:vAlign w:val="center"/>
            <w:hideMark/>
          </w:tcPr>
          <w:p w14:paraId="059D89B0"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Financial incentive</w:t>
            </w:r>
          </w:p>
        </w:tc>
        <w:tc>
          <w:tcPr>
            <w:tcW w:w="440" w:type="pct"/>
            <w:shd w:val="clear" w:color="auto" w:fill="auto"/>
            <w:tcMar>
              <w:top w:w="15" w:type="dxa"/>
              <w:left w:w="15" w:type="dxa"/>
              <w:bottom w:w="0" w:type="dxa"/>
              <w:right w:w="15" w:type="dxa"/>
            </w:tcMar>
            <w:vAlign w:val="center"/>
            <w:hideMark/>
          </w:tcPr>
          <w:p w14:paraId="07B7DDF6"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Off-farm labor allocation</w:t>
            </w:r>
          </w:p>
        </w:tc>
        <w:tc>
          <w:tcPr>
            <w:tcW w:w="345" w:type="pct"/>
            <w:shd w:val="clear" w:color="auto" w:fill="auto"/>
            <w:tcMar>
              <w:top w:w="15" w:type="dxa"/>
              <w:left w:w="15" w:type="dxa"/>
              <w:bottom w:w="0" w:type="dxa"/>
              <w:right w:w="15" w:type="dxa"/>
            </w:tcMar>
            <w:vAlign w:val="center"/>
            <w:hideMark/>
          </w:tcPr>
          <w:p w14:paraId="33CAE29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Property security</w:t>
            </w:r>
          </w:p>
        </w:tc>
      </w:tr>
      <w:tr w:rsidR="00695CAB" w:rsidRPr="0024133B" w14:paraId="5D198571" w14:textId="77777777" w:rsidTr="0075750D">
        <w:trPr>
          <w:trHeight w:val="492"/>
          <w:jc w:val="center"/>
        </w:trPr>
        <w:tc>
          <w:tcPr>
            <w:tcW w:w="166" w:type="pct"/>
            <w:shd w:val="clear" w:color="auto" w:fill="auto"/>
            <w:tcMar>
              <w:top w:w="15" w:type="dxa"/>
              <w:left w:w="15" w:type="dxa"/>
              <w:bottom w:w="0" w:type="dxa"/>
              <w:right w:w="15" w:type="dxa"/>
            </w:tcMar>
            <w:vAlign w:val="center"/>
          </w:tcPr>
          <w:p w14:paraId="694474A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w:t>
            </w:r>
          </w:p>
        </w:tc>
        <w:tc>
          <w:tcPr>
            <w:tcW w:w="726" w:type="pct"/>
            <w:shd w:val="clear" w:color="auto" w:fill="auto"/>
            <w:tcMar>
              <w:top w:w="15" w:type="dxa"/>
              <w:left w:w="15" w:type="dxa"/>
              <w:bottom w:w="0" w:type="dxa"/>
              <w:right w:w="15" w:type="dxa"/>
            </w:tcMar>
            <w:vAlign w:val="center"/>
          </w:tcPr>
          <w:p w14:paraId="023CE48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 xml:space="preserve">Guizhou, Ningxia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{"citationID":"JLGFFk7F","properties":{"formattedCitation":"[59]","plainCitation":"[59]","noteIndex":0},"citationItems":[{"id":"IuHaWYsY/mGyNVnHV","uris":["http://zotero.org/users/local/nuU8Soog/items/N55MYHNF"],"itemData":{"id":138,"type":"article-journal","abstract":"Obstacles to internal migration in China contribute to inefficiency, inequality, and land degradation. Academic and policy debate has primarily focused on discrimination against rural migrants on arrival in urban areas. Meanwhile, barriers to migration out of rural areas have received less attention. This paper examines the role of incomplete rural property rights in the migration decisions of rural households. We examine the relationship between tenure insecurity and restrictions on land rentals, and participation in outside labor markets. The results indicate that tenure insecurity reduces migration. This relationship is particularly pronounced on forest land, which has implications for the conservation of recently replanted forest areas.","container-title":"World Development","DOI":"10.1016/j.worlddev.2010.08.009","ISSN":"0305-750X","issue":"1","journalAbbreviation":"World Development","language":"en","page":"123-133","source":"ScienceDirect","title":"Land Tenure Arrangements and Rural–Urban Migration in China","volume":"39","author":[{"family":"Mullan","given":"Katrina"},{"family":"Grosjean","given":"Pauline"},{"family":"Kontoleon","given":"Andreas"}],"issued":{"date-parts":[["2011",1,1]]}}}],"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[59]</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tcPr>
          <w:p w14:paraId="75187E36"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286 householders</w:t>
            </w:r>
          </w:p>
        </w:tc>
        <w:tc>
          <w:tcPr>
            <w:tcW w:w="332" w:type="pct"/>
            <w:shd w:val="clear" w:color="auto" w:fill="auto"/>
            <w:tcMar>
              <w:top w:w="15" w:type="dxa"/>
              <w:left w:w="15" w:type="dxa"/>
              <w:bottom w:w="0" w:type="dxa"/>
              <w:right w:w="15" w:type="dxa"/>
            </w:tcMar>
            <w:vAlign w:val="center"/>
          </w:tcPr>
          <w:p w14:paraId="47AED607"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tcPr>
          <w:p w14:paraId="1955B76B"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tcPr>
          <w:p w14:paraId="086A346E"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tcPr>
          <w:p w14:paraId="6D6A080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1999, 2004</w:t>
            </w:r>
          </w:p>
        </w:tc>
        <w:tc>
          <w:tcPr>
            <w:tcW w:w="544" w:type="pct"/>
            <w:shd w:val="clear" w:color="auto" w:fill="auto"/>
            <w:tcMar>
              <w:top w:w="15" w:type="dxa"/>
              <w:left w:w="15" w:type="dxa"/>
              <w:bottom w:w="0" w:type="dxa"/>
              <w:right w:w="15" w:type="dxa"/>
            </w:tcMar>
            <w:vAlign w:val="center"/>
          </w:tcPr>
          <w:p w14:paraId="17C3950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Trust</w:t>
            </w:r>
          </w:p>
        </w:tc>
        <w:tc>
          <w:tcPr>
            <w:tcW w:w="498" w:type="pct"/>
            <w:shd w:val="clear" w:color="auto" w:fill="auto"/>
            <w:tcMar>
              <w:top w:w="15" w:type="dxa"/>
              <w:left w:w="15" w:type="dxa"/>
              <w:bottom w:w="0" w:type="dxa"/>
              <w:right w:w="15" w:type="dxa"/>
            </w:tcMar>
            <w:vAlign w:val="center"/>
          </w:tcPr>
          <w:p w14:paraId="4538A09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Property rights</w:t>
            </w:r>
          </w:p>
        </w:tc>
        <w:tc>
          <w:tcPr>
            <w:tcW w:w="443" w:type="pct"/>
            <w:shd w:val="clear" w:color="auto" w:fill="auto"/>
            <w:tcMar>
              <w:top w:w="15" w:type="dxa"/>
              <w:left w:w="15" w:type="dxa"/>
              <w:bottom w:w="0" w:type="dxa"/>
              <w:right w:w="15" w:type="dxa"/>
            </w:tcMar>
            <w:vAlign w:val="center"/>
          </w:tcPr>
          <w:p w14:paraId="28753DB6" w14:textId="77777777" w:rsidR="00695CAB" w:rsidRPr="0024133B" w:rsidRDefault="00695CAB" w:rsidP="0075750D">
            <w:pPr>
              <w:widowControl/>
              <w:spacing w:before="120" w:after="120"/>
              <w:jc w:val="center"/>
              <w:rPr>
                <w:rFonts w:ascii="Times New Roman" w:hAnsi="Times New Roman"/>
                <w:kern w:val="0"/>
                <w:szCs w:val="21"/>
              </w:rPr>
            </w:pPr>
          </w:p>
        </w:tc>
        <w:tc>
          <w:tcPr>
            <w:tcW w:w="440" w:type="pct"/>
            <w:shd w:val="clear" w:color="auto" w:fill="auto"/>
            <w:tcMar>
              <w:top w:w="15" w:type="dxa"/>
              <w:left w:w="15" w:type="dxa"/>
              <w:bottom w:w="0" w:type="dxa"/>
              <w:right w:w="15" w:type="dxa"/>
            </w:tcMar>
            <w:vAlign w:val="center"/>
          </w:tcPr>
          <w:p w14:paraId="34CD30D5" w14:textId="77777777" w:rsidR="00695CAB" w:rsidRPr="0024133B" w:rsidRDefault="00695CAB" w:rsidP="0075750D">
            <w:pPr>
              <w:widowControl/>
              <w:spacing w:before="120" w:after="120"/>
              <w:jc w:val="center"/>
              <w:rPr>
                <w:rFonts w:ascii="Times New Roman" w:hAnsi="Times New Roman"/>
                <w:kern w:val="0"/>
                <w:szCs w:val="21"/>
              </w:rPr>
            </w:pPr>
          </w:p>
        </w:tc>
        <w:tc>
          <w:tcPr>
            <w:tcW w:w="345" w:type="pct"/>
            <w:shd w:val="clear" w:color="auto" w:fill="auto"/>
            <w:tcMar>
              <w:top w:w="15" w:type="dxa"/>
              <w:left w:w="15" w:type="dxa"/>
              <w:bottom w:w="0" w:type="dxa"/>
              <w:right w:w="15" w:type="dxa"/>
            </w:tcMar>
            <w:vAlign w:val="center"/>
          </w:tcPr>
          <w:p w14:paraId="3ED71A52"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71F5C8F4" w14:textId="77777777" w:rsidTr="0075750D">
        <w:trPr>
          <w:trHeight w:val="492"/>
          <w:jc w:val="center"/>
        </w:trPr>
        <w:tc>
          <w:tcPr>
            <w:tcW w:w="166" w:type="pct"/>
            <w:shd w:val="clear" w:color="auto" w:fill="auto"/>
            <w:tcMar>
              <w:top w:w="15" w:type="dxa"/>
              <w:left w:w="15" w:type="dxa"/>
              <w:bottom w:w="0" w:type="dxa"/>
              <w:right w:w="15" w:type="dxa"/>
            </w:tcMar>
            <w:vAlign w:val="center"/>
            <w:hideMark/>
          </w:tcPr>
          <w:p w14:paraId="37212F18"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lastRenderedPageBreak/>
              <w:t>4</w:t>
            </w:r>
          </w:p>
        </w:tc>
        <w:tc>
          <w:tcPr>
            <w:tcW w:w="726" w:type="pct"/>
            <w:shd w:val="clear" w:color="auto" w:fill="auto"/>
            <w:tcMar>
              <w:top w:w="15" w:type="dxa"/>
              <w:left w:w="15" w:type="dxa"/>
              <w:bottom w:w="0" w:type="dxa"/>
              <w:right w:w="15" w:type="dxa"/>
            </w:tcMar>
            <w:vAlign w:val="center"/>
            <w:hideMark/>
          </w:tcPr>
          <w:p w14:paraId="0F188CE7"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 xml:space="preserve">24 provinces across China (including 419 villages across 228 townships in 132 counties)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{"citationID":"phMlCIqg","properties":{"formattedCitation":"[25]","plainCitation":"[25]","noteIndex":0},"citationItems":[{"id":"IuHaWYsY/Guwesbth","uris":["http://zotero.org/users/local/nuU8Soog/items/Z26A4V3W"],"itemData":{"id":143,"type":"article-journal","abstract":"China’s Conversion of Cropland to Forests Program (CCFP) is the world’s largest afforestation-based Payments for Ecosystem Services (PES) program, having retired and afforested over 24 million ha involving 32 million rural households. Prior research  has primarily focused on the CCFP’s rural welfare impacts, with few studies on  program-induced environmental improvements, particularly at the household level. In  this study, data from a 2010 survey covering 2808 rural households from across China was analyzed using an interval regression model to explain household-reported survival rates of trees planted on program-enrolled cropland. In addition to household-level factors, we explore the influence of local conditions and institutional configurations by exploiting the wide diversity of contexts covered by the data set. We find that households with more available labor and more forestry experience manage trees better, but that higher opportunity costs for both land and labor have the opposite effect. We also find that the local implementation regime- e.g., the degree of prior consultation with participants and regular monitoring - has a strong positive effect on reported survivorship. We suggest that the level of subsidy support to participating households will be key to survivorship of trees in planted CCFP forests for some time to come.","container-title":"Forests","DOI":"10.3390/f5092345","issue":"9","language":"en","note":"number: 9\npublisher: Multidisciplinary Digital Publishing Institute","page":"2345-2376","source":"www.mdpi.com","title":"China’s Conversion of Cropland to Forest Program for Household Delivery of Ecosystem Services: How Important is a Local Implementation Regime to Survival Rate Outcomes?","title-short":"China’s Conversion of Cropland to Forest Program for Household Delivery of Ecosystem Services","volume":"5","author":[{"family":"Bennett","given":"Michael T."},{"family":"Xie","given":"Chen"},{"family":"Hogarth","given":"Nicholas J."},{"family":"Peng","given":"Daoli"},{"family":"Putzel","given":"Louis"}],"issued":{"date-parts":[["2014",9]]}}}],"schema":"https://github.com/citation-style-language/schema/raw/master/csl-citation.json"}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[25]</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3BE243F3"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2635 householders</w:t>
            </w:r>
          </w:p>
        </w:tc>
        <w:tc>
          <w:tcPr>
            <w:tcW w:w="332" w:type="pct"/>
            <w:shd w:val="clear" w:color="auto" w:fill="auto"/>
            <w:tcMar>
              <w:top w:w="15" w:type="dxa"/>
              <w:left w:w="15" w:type="dxa"/>
              <w:bottom w:w="0" w:type="dxa"/>
              <w:right w:w="15" w:type="dxa"/>
            </w:tcMar>
            <w:vAlign w:val="center"/>
            <w:hideMark/>
          </w:tcPr>
          <w:p w14:paraId="7255866F"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19</w:t>
            </w:r>
          </w:p>
        </w:tc>
        <w:tc>
          <w:tcPr>
            <w:tcW w:w="332" w:type="pct"/>
            <w:shd w:val="clear" w:color="auto" w:fill="auto"/>
            <w:tcMar>
              <w:top w:w="15" w:type="dxa"/>
              <w:left w:w="15" w:type="dxa"/>
              <w:bottom w:w="0" w:type="dxa"/>
              <w:right w:w="15" w:type="dxa"/>
            </w:tcMar>
            <w:vAlign w:val="center"/>
            <w:hideMark/>
          </w:tcPr>
          <w:p w14:paraId="56134343"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3C0853C2"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2681FAF7"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2010</w:t>
            </w:r>
          </w:p>
        </w:tc>
        <w:tc>
          <w:tcPr>
            <w:tcW w:w="544" w:type="pct"/>
            <w:shd w:val="clear" w:color="auto" w:fill="auto"/>
            <w:tcMar>
              <w:top w:w="15" w:type="dxa"/>
              <w:left w:w="15" w:type="dxa"/>
              <w:bottom w:w="0" w:type="dxa"/>
              <w:right w:w="15" w:type="dxa"/>
            </w:tcMar>
            <w:vAlign w:val="center"/>
            <w:hideMark/>
          </w:tcPr>
          <w:p w14:paraId="6385A620"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Household involvement</w:t>
            </w:r>
          </w:p>
        </w:tc>
        <w:tc>
          <w:tcPr>
            <w:tcW w:w="498" w:type="pct"/>
            <w:shd w:val="clear" w:color="auto" w:fill="auto"/>
            <w:tcMar>
              <w:top w:w="15" w:type="dxa"/>
              <w:left w:w="15" w:type="dxa"/>
              <w:bottom w:w="0" w:type="dxa"/>
              <w:right w:w="15" w:type="dxa"/>
            </w:tcMar>
            <w:vAlign w:val="center"/>
            <w:hideMark/>
          </w:tcPr>
          <w:p w14:paraId="19431602"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Forest management skills</w:t>
            </w:r>
          </w:p>
        </w:tc>
        <w:tc>
          <w:tcPr>
            <w:tcW w:w="443" w:type="pct"/>
            <w:shd w:val="clear" w:color="auto" w:fill="auto"/>
            <w:tcMar>
              <w:top w:w="15" w:type="dxa"/>
              <w:left w:w="15" w:type="dxa"/>
              <w:bottom w:w="0" w:type="dxa"/>
              <w:right w:w="15" w:type="dxa"/>
            </w:tcMar>
            <w:vAlign w:val="center"/>
            <w:hideMark/>
          </w:tcPr>
          <w:p w14:paraId="3DB01249"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Opportunity cost</w:t>
            </w:r>
            <w:r w:rsidRPr="0024133B">
              <w:rPr>
                <w:rFonts w:ascii="Times New Roman" w:hAnsi="Times New Roman" w:hint="eastAsia"/>
                <w:kern w:val="0"/>
                <w:szCs w:val="21"/>
              </w:rPr>
              <w:t>s</w:t>
            </w:r>
            <w:r w:rsidRPr="0024133B">
              <w:rPr>
                <w:rFonts w:ascii="Times New Roman" w:hAnsi="Times New Roman"/>
                <w:kern w:val="0"/>
                <w:szCs w:val="21"/>
              </w:rPr>
              <w:t xml:space="preserve"> for land</w:t>
            </w:r>
          </w:p>
        </w:tc>
        <w:tc>
          <w:tcPr>
            <w:tcW w:w="440" w:type="pct"/>
            <w:shd w:val="clear" w:color="auto" w:fill="auto"/>
            <w:tcMar>
              <w:top w:w="15" w:type="dxa"/>
              <w:left w:w="15" w:type="dxa"/>
              <w:bottom w:w="0" w:type="dxa"/>
              <w:right w:w="15" w:type="dxa"/>
            </w:tcMar>
            <w:vAlign w:val="center"/>
            <w:hideMark/>
          </w:tcPr>
          <w:p w14:paraId="26BA3FE8"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Effective monitoring</w:t>
            </w:r>
          </w:p>
        </w:tc>
        <w:tc>
          <w:tcPr>
            <w:tcW w:w="345" w:type="pct"/>
            <w:shd w:val="clear" w:color="auto" w:fill="auto"/>
            <w:tcMar>
              <w:top w:w="15" w:type="dxa"/>
              <w:left w:w="15" w:type="dxa"/>
              <w:bottom w:w="0" w:type="dxa"/>
              <w:right w:w="15" w:type="dxa"/>
            </w:tcMar>
            <w:vAlign w:val="center"/>
            <w:hideMark/>
          </w:tcPr>
          <w:p w14:paraId="52326266"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Slope</w:t>
            </w:r>
          </w:p>
        </w:tc>
      </w:tr>
      <w:tr w:rsidR="00695CAB" w:rsidRPr="0024133B" w14:paraId="444AA1AC" w14:textId="77777777" w:rsidTr="0075750D">
        <w:trPr>
          <w:trHeight w:val="633"/>
          <w:jc w:val="center"/>
        </w:trPr>
        <w:tc>
          <w:tcPr>
            <w:tcW w:w="166" w:type="pct"/>
            <w:shd w:val="clear" w:color="auto" w:fill="auto"/>
            <w:tcMar>
              <w:top w:w="15" w:type="dxa"/>
              <w:left w:w="15" w:type="dxa"/>
              <w:bottom w:w="0" w:type="dxa"/>
              <w:right w:w="15" w:type="dxa"/>
            </w:tcMar>
            <w:vAlign w:val="center"/>
            <w:hideMark/>
          </w:tcPr>
          <w:p w14:paraId="7D2B3A0A"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5</w:t>
            </w:r>
          </w:p>
        </w:tc>
        <w:tc>
          <w:tcPr>
            <w:tcW w:w="726" w:type="pct"/>
            <w:shd w:val="clear" w:color="auto" w:fill="auto"/>
            <w:tcMar>
              <w:top w:w="15" w:type="dxa"/>
              <w:left w:w="15" w:type="dxa"/>
              <w:bottom w:w="0" w:type="dxa"/>
              <w:right w:w="15" w:type="dxa"/>
            </w:tcMar>
            <w:vAlign w:val="center"/>
            <w:hideMark/>
          </w:tcPr>
          <w:p w14:paraId="7E5E862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Shaanxi (</w:t>
            </w:r>
            <w:proofErr w:type="spellStart"/>
            <w:r w:rsidRPr="0024133B">
              <w:rPr>
                <w:rFonts w:ascii="Times New Roman" w:hAnsi="Times New Roman"/>
                <w:kern w:val="0"/>
                <w:szCs w:val="21"/>
              </w:rPr>
              <w:t>Danangou</w:t>
            </w:r>
            <w:proofErr w:type="spellEnd"/>
            <w:r w:rsidRPr="0024133B">
              <w:rPr>
                <w:rFonts w:ascii="Times New Roman" w:hAnsi="Times New Roman"/>
                <w:kern w:val="0"/>
                <w:szCs w:val="21"/>
              </w:rPr>
              <w:t xml:space="preserve"> catchment), Gansu (</w:t>
            </w:r>
            <w:proofErr w:type="spellStart"/>
            <w:r w:rsidRPr="0024133B">
              <w:rPr>
                <w:rFonts w:ascii="Times New Roman" w:hAnsi="Times New Roman"/>
                <w:kern w:val="0"/>
                <w:szCs w:val="21"/>
              </w:rPr>
              <w:t>Anjiapo</w:t>
            </w:r>
            <w:proofErr w:type="spellEnd"/>
            <w:r w:rsidRPr="0024133B">
              <w:rPr>
                <w:rFonts w:ascii="Times New Roman" w:hAnsi="Times New Roman"/>
                <w:kern w:val="0"/>
                <w:szCs w:val="21"/>
              </w:rPr>
              <w:t xml:space="preserve"> catchment)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H75aOE1G","properties":{"formattedCitation":"[60]","plainCitation":"[60]","noteIndex":0},"citationItems":[{"id":"IuHaWYsY/rMy6eiKL","uris":["http://zotero.org/users/local/nuU8Soog/items/8DJWQYBT"],"itemData":{"id":163,"type":"article-journal","container-title":"International Journal of Sustainable Development &amp; World Ecology","DOI":"10.1080/13504500609469673","ISSN":"1350-4509, 1745-2627","issue":"3","journalAbbreviation":"International Journal of Sustainable Development &amp; World Ecology","language":"en","page":"211-220","source":"DOI.org (Crossref)","title":"Farmer's attitudes towards the Grain-for-Green programme in the Loess hilly area, China: A case study in two small catchments","title-short":"Farmer's attitudes towards the Grain-for-Green programme in the Loess hilly area, China","volume":"13","author":[{"family":"Hu","given":"Chen-Xia"},{"family":"Fu","given":"Bo-Jie"},{"family":"Chen","given":"Li-Ding"},{"family":"Gulinck","given":"Hubert"}],"issued":{"date-parts":[["2006",6]]}}}],"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[60]</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0B4D24A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45 householders</w:t>
            </w:r>
          </w:p>
        </w:tc>
        <w:tc>
          <w:tcPr>
            <w:tcW w:w="332" w:type="pct"/>
            <w:shd w:val="clear" w:color="auto" w:fill="auto"/>
            <w:tcMar>
              <w:top w:w="15" w:type="dxa"/>
              <w:left w:w="15" w:type="dxa"/>
              <w:bottom w:w="0" w:type="dxa"/>
              <w:right w:w="15" w:type="dxa"/>
            </w:tcMar>
            <w:vAlign w:val="center"/>
            <w:hideMark/>
          </w:tcPr>
          <w:p w14:paraId="298464E7"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15 (</w:t>
            </w:r>
            <w:proofErr w:type="spellStart"/>
            <w:r w:rsidRPr="0024133B">
              <w:rPr>
                <w:rFonts w:ascii="Times New Roman" w:hAnsi="Times New Roman"/>
                <w:kern w:val="0"/>
                <w:szCs w:val="21"/>
              </w:rPr>
              <w:t>Danangou</w:t>
            </w:r>
            <w:proofErr w:type="spellEnd"/>
            <w:r w:rsidRPr="0024133B">
              <w:rPr>
                <w:rFonts w:ascii="Times New Roman" w:hAnsi="Times New Roman"/>
                <w:kern w:val="0"/>
                <w:szCs w:val="21"/>
              </w:rPr>
              <w:t>), 16 (</w:t>
            </w:r>
            <w:proofErr w:type="spellStart"/>
            <w:r w:rsidRPr="0024133B">
              <w:rPr>
                <w:rFonts w:ascii="Times New Roman" w:hAnsi="Times New Roman"/>
                <w:kern w:val="0"/>
                <w:szCs w:val="21"/>
              </w:rPr>
              <w:t>Anjiapo</w:t>
            </w:r>
            <w:proofErr w:type="spellEnd"/>
            <w:r w:rsidRPr="0024133B">
              <w:rPr>
                <w:rFonts w:ascii="Times New Roman" w:hAnsi="Times New Roman"/>
                <w:kern w:val="0"/>
                <w:szCs w:val="21"/>
              </w:rPr>
              <w:t>)</w:t>
            </w:r>
          </w:p>
        </w:tc>
        <w:tc>
          <w:tcPr>
            <w:tcW w:w="332" w:type="pct"/>
            <w:shd w:val="clear" w:color="auto" w:fill="auto"/>
            <w:tcMar>
              <w:top w:w="15" w:type="dxa"/>
              <w:left w:w="15" w:type="dxa"/>
              <w:bottom w:w="0" w:type="dxa"/>
              <w:right w:w="15" w:type="dxa"/>
            </w:tcMar>
            <w:vAlign w:val="center"/>
            <w:hideMark/>
          </w:tcPr>
          <w:p w14:paraId="571FAEE9"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55 (</w:t>
            </w:r>
            <w:proofErr w:type="spellStart"/>
            <w:r w:rsidRPr="0024133B">
              <w:rPr>
                <w:rFonts w:ascii="Times New Roman" w:hAnsi="Times New Roman"/>
                <w:kern w:val="0"/>
                <w:szCs w:val="21"/>
              </w:rPr>
              <w:t>Danangou</w:t>
            </w:r>
            <w:proofErr w:type="spellEnd"/>
            <w:r w:rsidRPr="0024133B">
              <w:rPr>
                <w:rFonts w:ascii="Times New Roman" w:hAnsi="Times New Roman"/>
                <w:kern w:val="0"/>
                <w:szCs w:val="21"/>
              </w:rPr>
              <w:t>), 70 (</w:t>
            </w:r>
            <w:proofErr w:type="spellStart"/>
            <w:r w:rsidRPr="0024133B">
              <w:rPr>
                <w:rFonts w:ascii="Times New Roman" w:hAnsi="Times New Roman"/>
                <w:kern w:val="0"/>
                <w:szCs w:val="21"/>
              </w:rPr>
              <w:t>Anjiapo</w:t>
            </w:r>
            <w:proofErr w:type="spellEnd"/>
            <w:r w:rsidRPr="0024133B">
              <w:rPr>
                <w:rFonts w:ascii="Times New Roman" w:hAnsi="Times New Roman"/>
                <w:kern w:val="0"/>
                <w:szCs w:val="21"/>
              </w:rPr>
              <w:t>)</w:t>
            </w:r>
          </w:p>
        </w:tc>
        <w:tc>
          <w:tcPr>
            <w:tcW w:w="332" w:type="pct"/>
            <w:shd w:val="clear" w:color="auto" w:fill="auto"/>
            <w:noWrap/>
            <w:tcMar>
              <w:top w:w="15" w:type="dxa"/>
              <w:left w:w="15" w:type="dxa"/>
              <w:bottom w:w="0" w:type="dxa"/>
              <w:right w:w="15" w:type="dxa"/>
            </w:tcMar>
            <w:vAlign w:val="center"/>
            <w:hideMark/>
          </w:tcPr>
          <w:p w14:paraId="7585F4F0"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30 (</w:t>
            </w:r>
            <w:proofErr w:type="spellStart"/>
            <w:r w:rsidRPr="0024133B">
              <w:rPr>
                <w:rFonts w:ascii="Times New Roman" w:hAnsi="Times New Roman"/>
                <w:kern w:val="0"/>
                <w:szCs w:val="21"/>
              </w:rPr>
              <w:t>Danangou</w:t>
            </w:r>
            <w:proofErr w:type="spellEnd"/>
            <w:r w:rsidRPr="0024133B">
              <w:rPr>
                <w:rFonts w:ascii="Times New Roman" w:hAnsi="Times New Roman"/>
                <w:kern w:val="0"/>
                <w:szCs w:val="21"/>
              </w:rPr>
              <w:t>), 14 (</w:t>
            </w:r>
            <w:proofErr w:type="spellStart"/>
            <w:r w:rsidRPr="0024133B">
              <w:rPr>
                <w:rFonts w:ascii="Times New Roman" w:hAnsi="Times New Roman"/>
                <w:kern w:val="0"/>
                <w:szCs w:val="21"/>
              </w:rPr>
              <w:t>Anjiapo</w:t>
            </w:r>
            <w:proofErr w:type="spellEnd"/>
            <w:r w:rsidRPr="0024133B">
              <w:rPr>
                <w:rFonts w:ascii="Times New Roman" w:hAnsi="Times New Roman"/>
                <w:kern w:val="0"/>
                <w:szCs w:val="21"/>
              </w:rPr>
              <w:t>)</w:t>
            </w:r>
          </w:p>
        </w:tc>
        <w:tc>
          <w:tcPr>
            <w:tcW w:w="343" w:type="pct"/>
            <w:shd w:val="clear" w:color="auto" w:fill="auto"/>
            <w:tcMar>
              <w:top w:w="15" w:type="dxa"/>
              <w:left w:w="15" w:type="dxa"/>
              <w:bottom w:w="0" w:type="dxa"/>
              <w:right w:w="15" w:type="dxa"/>
            </w:tcMar>
            <w:vAlign w:val="center"/>
            <w:hideMark/>
          </w:tcPr>
          <w:p w14:paraId="2F12824A"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2004</w:t>
            </w:r>
          </w:p>
        </w:tc>
        <w:tc>
          <w:tcPr>
            <w:tcW w:w="544" w:type="pct"/>
            <w:shd w:val="clear" w:color="auto" w:fill="auto"/>
            <w:tcMar>
              <w:top w:w="15" w:type="dxa"/>
              <w:left w:w="15" w:type="dxa"/>
              <w:bottom w:w="0" w:type="dxa"/>
              <w:right w:w="15" w:type="dxa"/>
            </w:tcMar>
            <w:vAlign w:val="center"/>
            <w:hideMark/>
          </w:tcPr>
          <w:p w14:paraId="741D2852"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Household attitudes (education, age, sex, involvement, income)</w:t>
            </w:r>
          </w:p>
        </w:tc>
        <w:tc>
          <w:tcPr>
            <w:tcW w:w="498" w:type="pct"/>
            <w:shd w:val="clear" w:color="auto" w:fill="auto"/>
            <w:tcMar>
              <w:top w:w="15" w:type="dxa"/>
              <w:left w:w="15" w:type="dxa"/>
              <w:bottom w:w="0" w:type="dxa"/>
              <w:right w:w="15" w:type="dxa"/>
            </w:tcMar>
            <w:vAlign w:val="center"/>
            <w:hideMark/>
          </w:tcPr>
          <w:p w14:paraId="1DA0D105" w14:textId="77777777" w:rsidR="00695CAB" w:rsidRPr="0024133B" w:rsidRDefault="00695CAB" w:rsidP="0075750D">
            <w:pPr>
              <w:widowControl/>
              <w:spacing w:before="120" w:after="120"/>
              <w:jc w:val="center"/>
              <w:rPr>
                <w:rFonts w:ascii="Times New Roman" w:hAnsi="Times New Roman"/>
                <w:kern w:val="0"/>
                <w:szCs w:val="21"/>
              </w:rPr>
            </w:pPr>
          </w:p>
        </w:tc>
        <w:tc>
          <w:tcPr>
            <w:tcW w:w="443" w:type="pct"/>
            <w:shd w:val="clear" w:color="auto" w:fill="auto"/>
            <w:tcMar>
              <w:top w:w="15" w:type="dxa"/>
              <w:left w:w="15" w:type="dxa"/>
              <w:bottom w:w="0" w:type="dxa"/>
              <w:right w:w="15" w:type="dxa"/>
            </w:tcMar>
            <w:vAlign w:val="center"/>
            <w:hideMark/>
          </w:tcPr>
          <w:p w14:paraId="3D7F70C7"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Financial incentive</w:t>
            </w:r>
          </w:p>
        </w:tc>
        <w:tc>
          <w:tcPr>
            <w:tcW w:w="440" w:type="pct"/>
            <w:shd w:val="clear" w:color="auto" w:fill="auto"/>
            <w:tcMar>
              <w:top w:w="15" w:type="dxa"/>
              <w:left w:w="15" w:type="dxa"/>
              <w:bottom w:w="0" w:type="dxa"/>
              <w:right w:w="15" w:type="dxa"/>
            </w:tcMar>
            <w:vAlign w:val="center"/>
            <w:hideMark/>
          </w:tcPr>
          <w:p w14:paraId="5D165277"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Implementation time</w:t>
            </w:r>
          </w:p>
        </w:tc>
        <w:tc>
          <w:tcPr>
            <w:tcW w:w="345" w:type="pct"/>
            <w:shd w:val="clear" w:color="auto" w:fill="auto"/>
            <w:tcMar>
              <w:top w:w="15" w:type="dxa"/>
              <w:left w:w="15" w:type="dxa"/>
              <w:bottom w:w="0" w:type="dxa"/>
              <w:right w:w="15" w:type="dxa"/>
            </w:tcMar>
            <w:vAlign w:val="center"/>
            <w:hideMark/>
          </w:tcPr>
          <w:p w14:paraId="3C6686B5"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3D09E674"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7E292E1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6</w:t>
            </w:r>
          </w:p>
        </w:tc>
        <w:tc>
          <w:tcPr>
            <w:tcW w:w="726" w:type="pct"/>
            <w:shd w:val="clear" w:color="auto" w:fill="auto"/>
            <w:tcMar>
              <w:top w:w="15" w:type="dxa"/>
              <w:left w:w="15" w:type="dxa"/>
              <w:bottom w:w="0" w:type="dxa"/>
              <w:right w:w="15" w:type="dxa"/>
            </w:tcMar>
            <w:vAlign w:val="center"/>
            <w:hideMark/>
          </w:tcPr>
          <w:p w14:paraId="0CDAADD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Shaanxi (</w:t>
            </w:r>
            <w:proofErr w:type="spellStart"/>
            <w:r w:rsidRPr="0024133B">
              <w:rPr>
                <w:rFonts w:ascii="Times New Roman" w:hAnsi="Times New Roman"/>
                <w:kern w:val="0"/>
                <w:szCs w:val="21"/>
              </w:rPr>
              <w:t>Wuqi</w:t>
            </w:r>
            <w:proofErr w:type="spellEnd"/>
            <w:r w:rsidRPr="0024133B">
              <w:rPr>
                <w:rFonts w:ascii="Times New Roman" w:hAnsi="Times New Roman"/>
                <w:kern w:val="0"/>
                <w:szCs w:val="21"/>
              </w:rPr>
              <w:t xml:space="preserve">)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{"citationID":"7cFq6JQU","properties":{"formattedCitation":"[61]","plainCitation":"[61]","noteIndex":0},"citationItems":[{"id":"IuHaWYsY/tb606m3t","uris":["http://zotero.org/users/local/nuU8Soog/items/J4A7CZD2"],"itemData":{"id":146,"type":"article-journal","abstract":"This study hypothesizes that the income levels of households are affected by their different areas enrolled in the Sloping Land Conversion Program, the local economic condition, and the statuses of their previous earnings. We test these relationships by running quantile regressions with data collected from 182 households in the Loess Plateau region covering the period of 1998–2011. We find that the more cropland was retired, the more subsidy was received, and the more labor was set free from farming, which, in turn, led to a larger decrease in farming income but a much larger gain in off-farm income. Further, the area enrolled had a more positive effect during 1998–2004 than that during 2006–2011 on all households; and the positive effect was significant only on those households of the 0.25th and 0.50th income quantiles later. Also, the proportion of off-farm labor to total labor, the off-farm work time, and the local GDP per capita had a larger income effect in the later sub-period, especially for households in the 0.75th and 0.90th income quantiles. These results carry major implications in terms of how to reduce poverty and increase income in ecologically fragile regions in and outside of China and how to assess the effect and effectiveness of any ecological conservation program.","container-title":"Forest Policy and Economics","DOI":"10.1016/j.forpol.2015.07.008","ISSN":"1389-9341","journalAbbreviation":"Forest Policy and Economics","language":"en","page":"95-103","source":"ScienceDirect","title":"Assessing the decadal impact of China's sloping land conversion program on household income under enrollment and earning differentiation","volume":"61","author":[{"family":"Li","given":"Hua"},{"family":"Yao","given":"Shunbo"},{"family":"Yin","given":"Runsheng"},{"family":"Liu","given":"Guangquan"}],"issued":{"date-parts":[["2015",12,1]]}}}],"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[61]</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3C4C81B3"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182 householders</w:t>
            </w:r>
          </w:p>
        </w:tc>
        <w:tc>
          <w:tcPr>
            <w:tcW w:w="332" w:type="pct"/>
            <w:shd w:val="clear" w:color="auto" w:fill="auto"/>
            <w:tcMar>
              <w:top w:w="15" w:type="dxa"/>
              <w:left w:w="15" w:type="dxa"/>
              <w:bottom w:w="0" w:type="dxa"/>
              <w:right w:w="15" w:type="dxa"/>
            </w:tcMar>
            <w:vAlign w:val="center"/>
            <w:hideMark/>
          </w:tcPr>
          <w:p w14:paraId="5E189361"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6FDAEAE5"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3C723A4B"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053326B1"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2005, 2007, 2012</w:t>
            </w:r>
          </w:p>
        </w:tc>
        <w:tc>
          <w:tcPr>
            <w:tcW w:w="544" w:type="pct"/>
            <w:shd w:val="clear" w:color="auto" w:fill="auto"/>
            <w:tcMar>
              <w:top w:w="15" w:type="dxa"/>
              <w:left w:w="15" w:type="dxa"/>
              <w:bottom w:w="0" w:type="dxa"/>
              <w:right w:w="15" w:type="dxa"/>
            </w:tcMar>
            <w:vAlign w:val="center"/>
            <w:hideMark/>
          </w:tcPr>
          <w:p w14:paraId="166006CE"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Income</w:t>
            </w:r>
          </w:p>
        </w:tc>
        <w:tc>
          <w:tcPr>
            <w:tcW w:w="498" w:type="pct"/>
            <w:shd w:val="clear" w:color="auto" w:fill="auto"/>
            <w:tcMar>
              <w:top w:w="15" w:type="dxa"/>
              <w:left w:w="15" w:type="dxa"/>
              <w:bottom w:w="0" w:type="dxa"/>
              <w:right w:w="15" w:type="dxa"/>
            </w:tcMar>
            <w:vAlign w:val="center"/>
            <w:hideMark/>
          </w:tcPr>
          <w:p w14:paraId="7CF1D0A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Off-farm opportunity</w:t>
            </w:r>
          </w:p>
        </w:tc>
        <w:tc>
          <w:tcPr>
            <w:tcW w:w="443" w:type="pct"/>
            <w:shd w:val="clear" w:color="auto" w:fill="auto"/>
            <w:tcMar>
              <w:top w:w="15" w:type="dxa"/>
              <w:left w:w="15" w:type="dxa"/>
              <w:bottom w:w="0" w:type="dxa"/>
              <w:right w:w="15" w:type="dxa"/>
            </w:tcMar>
            <w:vAlign w:val="center"/>
            <w:hideMark/>
          </w:tcPr>
          <w:p w14:paraId="63DE328A" w14:textId="77777777" w:rsidR="00695CAB" w:rsidRPr="0024133B" w:rsidRDefault="00695CAB" w:rsidP="0075750D">
            <w:pPr>
              <w:widowControl/>
              <w:spacing w:before="120" w:after="120"/>
              <w:jc w:val="center"/>
              <w:rPr>
                <w:rFonts w:ascii="Times New Roman" w:hAnsi="Times New Roman"/>
                <w:kern w:val="0"/>
                <w:szCs w:val="21"/>
              </w:rPr>
            </w:pPr>
          </w:p>
        </w:tc>
        <w:tc>
          <w:tcPr>
            <w:tcW w:w="440" w:type="pct"/>
            <w:shd w:val="clear" w:color="auto" w:fill="auto"/>
            <w:tcMar>
              <w:top w:w="15" w:type="dxa"/>
              <w:left w:w="15" w:type="dxa"/>
              <w:bottom w:w="0" w:type="dxa"/>
              <w:right w:w="15" w:type="dxa"/>
            </w:tcMar>
            <w:vAlign w:val="center"/>
            <w:hideMark/>
          </w:tcPr>
          <w:p w14:paraId="5E45C7D9" w14:textId="77777777" w:rsidR="00695CAB" w:rsidRPr="0024133B" w:rsidRDefault="00695CAB" w:rsidP="0075750D">
            <w:pPr>
              <w:widowControl/>
              <w:spacing w:before="120" w:after="120"/>
              <w:jc w:val="center"/>
              <w:rPr>
                <w:rFonts w:ascii="Times New Roman" w:hAnsi="Times New Roman"/>
                <w:kern w:val="0"/>
                <w:szCs w:val="21"/>
              </w:rPr>
            </w:pPr>
          </w:p>
        </w:tc>
        <w:tc>
          <w:tcPr>
            <w:tcW w:w="345" w:type="pct"/>
            <w:shd w:val="clear" w:color="auto" w:fill="auto"/>
            <w:tcMar>
              <w:top w:w="15" w:type="dxa"/>
              <w:left w:w="15" w:type="dxa"/>
              <w:bottom w:w="0" w:type="dxa"/>
              <w:right w:w="15" w:type="dxa"/>
            </w:tcMar>
            <w:vAlign w:val="center"/>
            <w:hideMark/>
          </w:tcPr>
          <w:p w14:paraId="3610C95E"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077DFC2C"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3FDAB8A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7</w:t>
            </w:r>
          </w:p>
        </w:tc>
        <w:tc>
          <w:tcPr>
            <w:tcW w:w="726" w:type="pct"/>
            <w:shd w:val="clear" w:color="auto" w:fill="auto"/>
            <w:tcMar>
              <w:top w:w="15" w:type="dxa"/>
              <w:left w:w="15" w:type="dxa"/>
              <w:bottom w:w="0" w:type="dxa"/>
              <w:right w:w="15" w:type="dxa"/>
            </w:tcMar>
            <w:vAlign w:val="center"/>
            <w:hideMark/>
          </w:tcPr>
          <w:p w14:paraId="44EB71B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Shaanxi (</w:t>
            </w:r>
            <w:proofErr w:type="spellStart"/>
            <w:r w:rsidRPr="0024133B">
              <w:rPr>
                <w:rFonts w:ascii="Times New Roman" w:hAnsi="Times New Roman"/>
                <w:kern w:val="0"/>
                <w:szCs w:val="21"/>
              </w:rPr>
              <w:t>Yanchuan</w:t>
            </w:r>
            <w:proofErr w:type="spellEnd"/>
            <w:r w:rsidRPr="0024133B">
              <w:rPr>
                <w:rFonts w:ascii="Times New Roman" w:hAnsi="Times New Roman"/>
                <w:kern w:val="0"/>
                <w:szCs w:val="21"/>
              </w:rPr>
              <w:t xml:space="preserve">, </w:t>
            </w:r>
            <w:proofErr w:type="spellStart"/>
            <w:r w:rsidRPr="0024133B">
              <w:rPr>
                <w:rFonts w:ascii="Times New Roman" w:hAnsi="Times New Roman"/>
                <w:kern w:val="0"/>
                <w:szCs w:val="21"/>
              </w:rPr>
              <w:t>Liquan</w:t>
            </w:r>
            <w:proofErr w:type="spellEnd"/>
            <w:r w:rsidRPr="0024133B">
              <w:rPr>
                <w:rFonts w:ascii="Times New Roman" w:hAnsi="Times New Roman"/>
                <w:kern w:val="0"/>
                <w:szCs w:val="21"/>
              </w:rPr>
              <w:t>), Gansu (</w:t>
            </w:r>
            <w:proofErr w:type="spellStart"/>
            <w:r w:rsidRPr="0024133B">
              <w:rPr>
                <w:rFonts w:ascii="Times New Roman" w:hAnsi="Times New Roman"/>
                <w:kern w:val="0"/>
                <w:szCs w:val="21"/>
              </w:rPr>
              <w:t>Jingning</w:t>
            </w:r>
            <w:proofErr w:type="spellEnd"/>
            <w:r w:rsidRPr="0024133B">
              <w:rPr>
                <w:rFonts w:ascii="Times New Roman" w:hAnsi="Times New Roman"/>
                <w:kern w:val="0"/>
                <w:szCs w:val="21"/>
              </w:rPr>
              <w:t xml:space="preserve">, </w:t>
            </w:r>
            <w:proofErr w:type="spellStart"/>
            <w:r w:rsidRPr="0024133B">
              <w:rPr>
                <w:rFonts w:ascii="Times New Roman" w:hAnsi="Times New Roman"/>
                <w:kern w:val="0"/>
                <w:szCs w:val="21"/>
              </w:rPr>
              <w:t>Linxia</w:t>
            </w:r>
            <w:proofErr w:type="spellEnd"/>
            <w:r w:rsidRPr="0024133B">
              <w:rPr>
                <w:rFonts w:ascii="Times New Roman" w:hAnsi="Times New Roman"/>
                <w:kern w:val="0"/>
                <w:szCs w:val="21"/>
              </w:rPr>
              <w:t>), Sichuan (</w:t>
            </w:r>
            <w:proofErr w:type="spellStart"/>
            <w:r w:rsidRPr="0024133B">
              <w:rPr>
                <w:rFonts w:ascii="Times New Roman" w:hAnsi="Times New Roman"/>
                <w:kern w:val="0"/>
                <w:szCs w:val="21"/>
              </w:rPr>
              <w:t>Chaotian</w:t>
            </w:r>
            <w:proofErr w:type="spellEnd"/>
            <w:r w:rsidRPr="0024133B">
              <w:rPr>
                <w:rFonts w:ascii="Times New Roman" w:hAnsi="Times New Roman"/>
                <w:kern w:val="0"/>
                <w:szCs w:val="21"/>
              </w:rPr>
              <w:t xml:space="preserve">, Li)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{"citationID":"Mu6fQ8Hz","properties":{"formattedCitation":"[34]","plainCitation":"[34]","noteIndex":0},"citationItems":[{"id":"IuHaWYsY/6WRjA06C","uris":["http://zotero.org/users/local/nuU8Soog/items/WQQTIQA4"],"itemData":{"id":101,"type":"article-journal","abstract":"[This paper uses a 2003 household survey to examine implementation and impacts of China's Sloping Land Conversion Program. We find that land targeting has been strongly influenced by program goals, but that mistargeting also occurred. Using a treatment effects approach to evaluate program impact, we find evidence of positive impact on cropping, husbandry, and total income, though the results are not robust enough to support government claims of huge gains. We also find evidence that lack of participant choice could be dampening program impacts, and that allowing households autonomy could lead to improvement in program cost-effectiveness and outcomes.]","archive":"JSTOR","container-title":"Land Economics","ISSN":"00237639","issue":"2","note":"publisher: [Board of Regents of the University of Wisconsin System, University of Wisconsin Press]","page":"219-244","title":"China's Sloping Land Conversion Program: Does Expansion Equal Success?","volume":"86","author":[{"family":"Xu","given":"Jintao"},{"family":"Tao","given":"Ran"},{"family":"Xu","given":"Zhigang"},{"family":"Bennett","given":"Michael T."}],"issued":{"date-parts":[["2010"]]}}}],"schema":"https://github.com/citation-style-language/schema/raw/master/csl-citation.json"}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[34]</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1776E53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264 householders</w:t>
            </w:r>
          </w:p>
        </w:tc>
        <w:tc>
          <w:tcPr>
            <w:tcW w:w="332" w:type="pct"/>
            <w:shd w:val="clear" w:color="auto" w:fill="auto"/>
            <w:tcMar>
              <w:top w:w="15" w:type="dxa"/>
              <w:left w:w="15" w:type="dxa"/>
              <w:bottom w:w="0" w:type="dxa"/>
              <w:right w:w="15" w:type="dxa"/>
            </w:tcMar>
            <w:vAlign w:val="center"/>
            <w:hideMark/>
          </w:tcPr>
          <w:p w14:paraId="4743E6AA"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12F4DB62"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5690E6FD"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0FFA4E1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2003</w:t>
            </w:r>
          </w:p>
        </w:tc>
        <w:tc>
          <w:tcPr>
            <w:tcW w:w="544" w:type="pct"/>
            <w:shd w:val="clear" w:color="auto" w:fill="auto"/>
            <w:tcMar>
              <w:top w:w="15" w:type="dxa"/>
              <w:left w:w="15" w:type="dxa"/>
              <w:bottom w:w="0" w:type="dxa"/>
              <w:right w:w="15" w:type="dxa"/>
            </w:tcMar>
            <w:vAlign w:val="center"/>
            <w:hideMark/>
          </w:tcPr>
          <w:p w14:paraId="10922AC3"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Financial incentive</w:t>
            </w:r>
          </w:p>
        </w:tc>
        <w:tc>
          <w:tcPr>
            <w:tcW w:w="498" w:type="pct"/>
            <w:shd w:val="clear" w:color="auto" w:fill="auto"/>
            <w:tcMar>
              <w:top w:w="15" w:type="dxa"/>
              <w:left w:w="15" w:type="dxa"/>
              <w:bottom w:w="0" w:type="dxa"/>
              <w:right w:w="15" w:type="dxa"/>
            </w:tcMar>
            <w:vAlign w:val="center"/>
            <w:hideMark/>
          </w:tcPr>
          <w:p w14:paraId="527F37F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Property security</w:t>
            </w:r>
          </w:p>
        </w:tc>
        <w:tc>
          <w:tcPr>
            <w:tcW w:w="443" w:type="pct"/>
            <w:shd w:val="clear" w:color="auto" w:fill="auto"/>
            <w:tcMar>
              <w:top w:w="15" w:type="dxa"/>
              <w:left w:w="15" w:type="dxa"/>
              <w:bottom w:w="0" w:type="dxa"/>
              <w:right w:w="15" w:type="dxa"/>
            </w:tcMar>
            <w:vAlign w:val="center"/>
            <w:hideMark/>
          </w:tcPr>
          <w:p w14:paraId="75937A69"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Opportunity cost</w:t>
            </w:r>
            <w:r w:rsidRPr="0024133B">
              <w:rPr>
                <w:rFonts w:ascii="Times New Roman" w:hAnsi="Times New Roman" w:hint="eastAsia"/>
                <w:kern w:val="0"/>
                <w:szCs w:val="21"/>
              </w:rPr>
              <w:t>s</w:t>
            </w:r>
            <w:r w:rsidRPr="0024133B">
              <w:rPr>
                <w:rFonts w:ascii="Times New Roman" w:hAnsi="Times New Roman"/>
                <w:kern w:val="0"/>
                <w:szCs w:val="21"/>
              </w:rPr>
              <w:t xml:space="preserve"> for land</w:t>
            </w:r>
          </w:p>
        </w:tc>
        <w:tc>
          <w:tcPr>
            <w:tcW w:w="440" w:type="pct"/>
            <w:shd w:val="clear" w:color="auto" w:fill="auto"/>
            <w:tcMar>
              <w:top w:w="15" w:type="dxa"/>
              <w:left w:w="15" w:type="dxa"/>
              <w:bottom w:w="0" w:type="dxa"/>
              <w:right w:w="15" w:type="dxa"/>
            </w:tcMar>
            <w:vAlign w:val="center"/>
            <w:hideMark/>
          </w:tcPr>
          <w:p w14:paraId="35CC135E" w14:textId="77777777" w:rsidR="00695CAB" w:rsidRPr="0024133B" w:rsidRDefault="00695CAB" w:rsidP="0075750D">
            <w:pPr>
              <w:widowControl/>
              <w:spacing w:before="120" w:after="120"/>
              <w:jc w:val="center"/>
              <w:rPr>
                <w:rFonts w:ascii="Times New Roman" w:hAnsi="Times New Roman"/>
                <w:kern w:val="0"/>
                <w:szCs w:val="21"/>
              </w:rPr>
            </w:pPr>
          </w:p>
        </w:tc>
        <w:tc>
          <w:tcPr>
            <w:tcW w:w="345" w:type="pct"/>
            <w:shd w:val="clear" w:color="auto" w:fill="auto"/>
            <w:tcMar>
              <w:top w:w="15" w:type="dxa"/>
              <w:left w:w="15" w:type="dxa"/>
              <w:bottom w:w="0" w:type="dxa"/>
              <w:right w:w="15" w:type="dxa"/>
            </w:tcMar>
            <w:vAlign w:val="center"/>
            <w:hideMark/>
          </w:tcPr>
          <w:p w14:paraId="710FD57C"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13B2BC34"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073FDCD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8</w:t>
            </w:r>
          </w:p>
        </w:tc>
        <w:tc>
          <w:tcPr>
            <w:tcW w:w="726" w:type="pct"/>
            <w:shd w:val="clear" w:color="auto" w:fill="auto"/>
            <w:tcMar>
              <w:top w:w="15" w:type="dxa"/>
              <w:left w:w="15" w:type="dxa"/>
              <w:bottom w:w="0" w:type="dxa"/>
              <w:right w:w="15" w:type="dxa"/>
            </w:tcMar>
            <w:vAlign w:val="center"/>
            <w:hideMark/>
          </w:tcPr>
          <w:p w14:paraId="3808923A"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 xml:space="preserve">Sichuan, Shaanxi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{"citationID":"3wa86hwL","properties":{"formattedCitation":"[62]","plainCitation":"[62]","noteIndex":0},"citationItems":[{"id":"IuHaWYsY/OqFPV3sq","uris":["http://zotero.org/users/local/nuU8Soog/items/VHLZWFTP"],"itemData":{"id":148,"type":"article-journal","abstract":"This study evaluates the labor response of rural households participating in the Grain-for-Green program in China, the largest payments for ecosystem services program in the developing world. Using a panel data set that we designed and implemented, we find that the participating households are increasingly shifting their labor endowment from on-farm work to the off-farm labor market. However, the effects vary depending on the initial level of human and physical capital. The results support the view that one reason why the participants are more likely to find off-farm employment is because the program is relaxing households' liquidity constraints.","container-title":"American Journal of Agricultural Economics","DOI":"10.1111/j.1467-8276.2008.01184.x","ISSN":"0002-9092","issue":"1","journalAbbreviation":"American Journal of Agricultural Economics","page":"70-86","title":"Conservation Payments, Liquidity Constraints, and Off-Farm Labor: Impact of the Grain-for-Green Program on Rural Households in China","volume":"91","author":[{"family":"Uchida","given":"Emi"},{"family":"Rozelle","given":"Scott"},{"family":"Xu","given":"Jintao"}],"issued":{"date-parts":[["2009",2,1]]}}}],"schema":"https://github.com/citation-style-language/schema/raw/master/csl-citation.json"}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[62]</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3BDE9EA7"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266 householders</w:t>
            </w:r>
          </w:p>
        </w:tc>
        <w:tc>
          <w:tcPr>
            <w:tcW w:w="332" w:type="pct"/>
            <w:shd w:val="clear" w:color="auto" w:fill="auto"/>
            <w:tcMar>
              <w:top w:w="15" w:type="dxa"/>
              <w:left w:w="15" w:type="dxa"/>
              <w:bottom w:w="0" w:type="dxa"/>
              <w:right w:w="15" w:type="dxa"/>
            </w:tcMar>
            <w:vAlign w:val="center"/>
            <w:hideMark/>
          </w:tcPr>
          <w:p w14:paraId="66792F81"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5220429A"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3AA7E683"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5642FDE4"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2004</w:t>
            </w:r>
          </w:p>
        </w:tc>
        <w:tc>
          <w:tcPr>
            <w:tcW w:w="544" w:type="pct"/>
            <w:shd w:val="clear" w:color="auto" w:fill="auto"/>
            <w:tcMar>
              <w:top w:w="15" w:type="dxa"/>
              <w:left w:w="15" w:type="dxa"/>
              <w:bottom w:w="0" w:type="dxa"/>
              <w:right w:w="15" w:type="dxa"/>
            </w:tcMar>
            <w:vAlign w:val="center"/>
            <w:hideMark/>
          </w:tcPr>
          <w:p w14:paraId="6312E68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Off-farm labor allocation (Age, Education)</w:t>
            </w:r>
          </w:p>
        </w:tc>
        <w:tc>
          <w:tcPr>
            <w:tcW w:w="498" w:type="pct"/>
            <w:shd w:val="clear" w:color="auto" w:fill="auto"/>
            <w:tcMar>
              <w:top w:w="15" w:type="dxa"/>
              <w:left w:w="15" w:type="dxa"/>
              <w:bottom w:w="0" w:type="dxa"/>
              <w:right w:w="15" w:type="dxa"/>
            </w:tcMar>
            <w:vAlign w:val="center"/>
            <w:hideMark/>
          </w:tcPr>
          <w:p w14:paraId="67237714" w14:textId="77777777" w:rsidR="00695CAB" w:rsidRPr="0024133B" w:rsidRDefault="00695CAB" w:rsidP="0075750D">
            <w:pPr>
              <w:widowControl/>
              <w:spacing w:before="120" w:after="120"/>
              <w:jc w:val="center"/>
              <w:rPr>
                <w:rFonts w:ascii="Times New Roman" w:hAnsi="Times New Roman"/>
                <w:kern w:val="0"/>
                <w:szCs w:val="21"/>
              </w:rPr>
            </w:pPr>
          </w:p>
        </w:tc>
        <w:tc>
          <w:tcPr>
            <w:tcW w:w="443" w:type="pct"/>
            <w:shd w:val="clear" w:color="auto" w:fill="auto"/>
            <w:tcMar>
              <w:top w:w="15" w:type="dxa"/>
              <w:left w:w="15" w:type="dxa"/>
              <w:bottom w:w="0" w:type="dxa"/>
              <w:right w:w="15" w:type="dxa"/>
            </w:tcMar>
            <w:vAlign w:val="center"/>
            <w:hideMark/>
          </w:tcPr>
          <w:p w14:paraId="569C1B86" w14:textId="77777777" w:rsidR="00695CAB" w:rsidRPr="0024133B" w:rsidRDefault="00695CAB" w:rsidP="0075750D">
            <w:pPr>
              <w:widowControl/>
              <w:spacing w:before="120" w:after="120"/>
              <w:jc w:val="center"/>
              <w:rPr>
                <w:rFonts w:ascii="Times New Roman" w:hAnsi="Times New Roman"/>
                <w:kern w:val="0"/>
                <w:szCs w:val="21"/>
              </w:rPr>
            </w:pPr>
          </w:p>
        </w:tc>
        <w:tc>
          <w:tcPr>
            <w:tcW w:w="440" w:type="pct"/>
            <w:shd w:val="clear" w:color="auto" w:fill="auto"/>
            <w:tcMar>
              <w:top w:w="15" w:type="dxa"/>
              <w:left w:w="15" w:type="dxa"/>
              <w:bottom w:w="0" w:type="dxa"/>
              <w:right w:w="15" w:type="dxa"/>
            </w:tcMar>
            <w:vAlign w:val="center"/>
            <w:hideMark/>
          </w:tcPr>
          <w:p w14:paraId="3DD8B4AD" w14:textId="77777777" w:rsidR="00695CAB" w:rsidRPr="0024133B" w:rsidRDefault="00695CAB" w:rsidP="0075750D">
            <w:pPr>
              <w:widowControl/>
              <w:spacing w:before="120" w:after="120"/>
              <w:jc w:val="center"/>
              <w:rPr>
                <w:rFonts w:ascii="Times New Roman" w:hAnsi="Times New Roman"/>
                <w:kern w:val="0"/>
                <w:szCs w:val="21"/>
              </w:rPr>
            </w:pPr>
          </w:p>
        </w:tc>
        <w:tc>
          <w:tcPr>
            <w:tcW w:w="345" w:type="pct"/>
            <w:shd w:val="clear" w:color="auto" w:fill="auto"/>
            <w:tcMar>
              <w:top w:w="15" w:type="dxa"/>
              <w:left w:w="15" w:type="dxa"/>
              <w:bottom w:w="0" w:type="dxa"/>
              <w:right w:w="15" w:type="dxa"/>
            </w:tcMar>
            <w:vAlign w:val="center"/>
            <w:hideMark/>
          </w:tcPr>
          <w:p w14:paraId="3D983840"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2A983383"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4AEADF4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lastRenderedPageBreak/>
              <w:t>9</w:t>
            </w:r>
          </w:p>
        </w:tc>
        <w:tc>
          <w:tcPr>
            <w:tcW w:w="726" w:type="pct"/>
            <w:shd w:val="clear" w:color="auto" w:fill="auto"/>
            <w:tcMar>
              <w:top w:w="15" w:type="dxa"/>
              <w:left w:w="15" w:type="dxa"/>
              <w:bottom w:w="0" w:type="dxa"/>
              <w:right w:w="15" w:type="dxa"/>
            </w:tcMar>
            <w:vAlign w:val="center"/>
            <w:hideMark/>
          </w:tcPr>
          <w:p w14:paraId="2F8445BD"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 xml:space="preserve">Gansu (Huan)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{"citationID":"8B2zMyjA","properties":{"formattedCitation":"[63]","plainCitation":"[63]","noteIndex":0},"citationItems":[{"id":"IuHaWYsY/w4CeM4k1","uris":["http://zotero.org/users/local/nuU8Soog/items/H8PFRBFH"],"itemData":{"id":149,"type":"article-journal","abstract":"This study examined how agricultural households involved in China's Sloping Land Conversion Program (SLCP) could respond to expected changes in environmental and livestock policies and changing commodity prices. We calibrated a farm household model using 2009 survey data collected in northeast Gansu Province, China, and examined the responses of four different household groups. Household groups were distinguished based on the resources they possessed for either cropping, livestock husbandry or off-farm employment. We also calculated the opportunity cost of converting sloping land from grain crop production to perennial grass production and included the net value of the replacement crop in these calculations. Our model simulations indicated that subsistence-oriented households were most likely to participate in the SLCP, and that SLCP payment reductions could have large negative income effects for this group. Reductions in SLCP payments increased income inequality among households in the study area. Migration- and cropping-oriented households have fewer incentives to participate in the SLCP. With rising commodity prices, SLCP payments need to rise to avoid that subsistence-oriented households reconvert their land from perennial grasses to annual grain crops. Local government policies related to livestock production are being devised in Gansu as a method to lift incomes, and these policies could also have positive environmental benefits by increasing grass production on sloping land. The introduction of these livestock promotion policies had modest income effects but did not alter the area grown with grasses under the SLCP.","collection-title":"Land Use Policy in China","container-title":"Land Use Policy","DOI":"10.1016/j.landusepol.2013.04.013","ISSN":"0264-8377","journalAbbreviation":"Land Use Policy","language":"en","page":"36-44","source":"ScienceDirect","title":"Household-level effects of China's Sloping Land Conversion Program under price and policy shifts","volume":"40","author":[{"family":"Komarek","given":"Adam M."},{"family":"Shi","given":"Xiaoping"},{"family":"Heerink","given":"Nico"}],"issued":{"date-parts":[["2014",9,1]]}}}],"schema":"https://github.com/citation-style-language/schema/raw/master/csl-citation.json"}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[63]</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00743E2E"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94 householders</w:t>
            </w:r>
          </w:p>
        </w:tc>
        <w:tc>
          <w:tcPr>
            <w:tcW w:w="332" w:type="pct"/>
            <w:shd w:val="clear" w:color="auto" w:fill="auto"/>
            <w:tcMar>
              <w:top w:w="15" w:type="dxa"/>
              <w:left w:w="15" w:type="dxa"/>
              <w:bottom w:w="0" w:type="dxa"/>
              <w:right w:w="15" w:type="dxa"/>
            </w:tcMar>
            <w:vAlign w:val="center"/>
            <w:hideMark/>
          </w:tcPr>
          <w:p w14:paraId="06820803"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457A0F64"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76AD4C6B"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7159A4B2"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2009</w:t>
            </w:r>
          </w:p>
        </w:tc>
        <w:tc>
          <w:tcPr>
            <w:tcW w:w="544" w:type="pct"/>
            <w:shd w:val="clear" w:color="auto" w:fill="auto"/>
            <w:tcMar>
              <w:top w:w="15" w:type="dxa"/>
              <w:left w:w="15" w:type="dxa"/>
              <w:bottom w:w="0" w:type="dxa"/>
              <w:right w:w="15" w:type="dxa"/>
            </w:tcMar>
            <w:vAlign w:val="center"/>
            <w:hideMark/>
          </w:tcPr>
          <w:p w14:paraId="17103C60"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Property security</w:t>
            </w:r>
          </w:p>
        </w:tc>
        <w:tc>
          <w:tcPr>
            <w:tcW w:w="498" w:type="pct"/>
            <w:shd w:val="clear" w:color="auto" w:fill="auto"/>
            <w:tcMar>
              <w:top w:w="15" w:type="dxa"/>
              <w:left w:w="15" w:type="dxa"/>
              <w:bottom w:w="0" w:type="dxa"/>
              <w:right w:w="15" w:type="dxa"/>
            </w:tcMar>
            <w:vAlign w:val="center"/>
            <w:hideMark/>
          </w:tcPr>
          <w:p w14:paraId="64E8DE27"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Opportunity cost</w:t>
            </w:r>
            <w:r w:rsidRPr="0024133B">
              <w:rPr>
                <w:rFonts w:ascii="Times New Roman" w:hAnsi="Times New Roman" w:hint="eastAsia"/>
                <w:kern w:val="0"/>
                <w:szCs w:val="21"/>
              </w:rPr>
              <w:t>s</w:t>
            </w:r>
            <w:r w:rsidRPr="0024133B">
              <w:rPr>
                <w:rFonts w:ascii="Times New Roman" w:hAnsi="Times New Roman"/>
                <w:kern w:val="0"/>
                <w:szCs w:val="21"/>
              </w:rPr>
              <w:t xml:space="preserve"> for land (livelihood type)</w:t>
            </w:r>
          </w:p>
        </w:tc>
        <w:tc>
          <w:tcPr>
            <w:tcW w:w="443" w:type="pct"/>
            <w:shd w:val="clear" w:color="auto" w:fill="auto"/>
            <w:tcMar>
              <w:top w:w="15" w:type="dxa"/>
              <w:left w:w="15" w:type="dxa"/>
              <w:bottom w:w="0" w:type="dxa"/>
              <w:right w:w="15" w:type="dxa"/>
            </w:tcMar>
            <w:vAlign w:val="center"/>
            <w:hideMark/>
          </w:tcPr>
          <w:p w14:paraId="549F6F9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Slope</w:t>
            </w:r>
          </w:p>
        </w:tc>
        <w:tc>
          <w:tcPr>
            <w:tcW w:w="440" w:type="pct"/>
            <w:shd w:val="clear" w:color="auto" w:fill="auto"/>
            <w:tcMar>
              <w:top w:w="15" w:type="dxa"/>
              <w:left w:w="15" w:type="dxa"/>
              <w:bottom w:w="0" w:type="dxa"/>
              <w:right w:w="15" w:type="dxa"/>
            </w:tcMar>
            <w:vAlign w:val="center"/>
            <w:hideMark/>
          </w:tcPr>
          <w:p w14:paraId="03898DAA" w14:textId="77777777" w:rsidR="00695CAB" w:rsidRPr="0024133B" w:rsidRDefault="00695CAB" w:rsidP="0075750D">
            <w:pPr>
              <w:widowControl/>
              <w:spacing w:before="120" w:after="120"/>
              <w:jc w:val="center"/>
              <w:rPr>
                <w:rFonts w:ascii="Times New Roman" w:hAnsi="Times New Roman"/>
                <w:kern w:val="0"/>
                <w:szCs w:val="21"/>
              </w:rPr>
            </w:pPr>
          </w:p>
        </w:tc>
        <w:tc>
          <w:tcPr>
            <w:tcW w:w="345" w:type="pct"/>
            <w:shd w:val="clear" w:color="auto" w:fill="auto"/>
            <w:tcMar>
              <w:top w:w="15" w:type="dxa"/>
              <w:left w:w="15" w:type="dxa"/>
              <w:bottom w:w="0" w:type="dxa"/>
              <w:right w:w="15" w:type="dxa"/>
            </w:tcMar>
            <w:vAlign w:val="center"/>
            <w:hideMark/>
          </w:tcPr>
          <w:p w14:paraId="4F0C6C01"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1E2E13CC"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2BFCF791"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10</w:t>
            </w:r>
          </w:p>
        </w:tc>
        <w:tc>
          <w:tcPr>
            <w:tcW w:w="726" w:type="pct"/>
            <w:shd w:val="clear" w:color="auto" w:fill="auto"/>
            <w:tcMar>
              <w:top w:w="15" w:type="dxa"/>
              <w:left w:w="15" w:type="dxa"/>
              <w:bottom w:w="0" w:type="dxa"/>
              <w:right w:w="15" w:type="dxa"/>
            </w:tcMar>
            <w:vAlign w:val="center"/>
            <w:hideMark/>
          </w:tcPr>
          <w:p w14:paraId="22B23A63"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Yunnan (</w:t>
            </w:r>
            <w:proofErr w:type="spellStart"/>
            <w:r w:rsidRPr="0024133B">
              <w:rPr>
                <w:rFonts w:ascii="Times New Roman" w:hAnsi="Times New Roman"/>
                <w:kern w:val="0"/>
                <w:szCs w:val="21"/>
              </w:rPr>
              <w:t>Yangliu</w:t>
            </w:r>
            <w:proofErr w:type="spellEnd"/>
            <w:r w:rsidRPr="0024133B">
              <w:rPr>
                <w:rFonts w:ascii="Times New Roman" w:hAnsi="Times New Roman"/>
                <w:kern w:val="0"/>
                <w:szCs w:val="21"/>
              </w:rPr>
              <w:t xml:space="preserve"> watershed)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{"citationID":"dd9QVMRB","properties":{"formattedCitation":"[18]","plainCitation":"[18]","noteIndex":0},"citationItems":[{"id":"IuHaWYsY/dd3JFRCH","uris":["http://zotero.org/users/local/nuU8Soog/items/5F6UJEG3"],"itemData":{"id":59,"type":"article-journal","abstract":"China's Sloping Land Conversion Program (SLCP) pays millions of farmers to convert cropland in upper watersheds to tree plantations. It is considered one of the world's largest payments for ecosystem services (PES) scheme for its reliance on financial incentives. This paper examines the outcomes of the SLCP by way of a case study from the Yangliu watershed in Yunnan province. It focuses on the notions of justice embedded in state policy and held by villagers and local state officials in order to understand the observed outcomes in terms of people's participation in the implementation of the SLCP, land use changes and livelihood effects. Villagers, local state officials, and state policy share a primary concern about distributive justice despite significant differences in their specific notions. The shared concern underlies the villagers’ positive reactions to the SLCP, which among other factors, have led to the intended expansion of tree plantations and a livelihood transition in Yangliu since 2003. The insights from Yangliu suggest the need to consider justice for a fuller understanding of the dynamics and outcomes of the SLCP and other PES schemes worldwide as the notions of justice applied by the involved actors may influence land use and livelihood dynamics in addition to the other factors considered in research this far.","container-title":"Land Use Policy","DOI":"10.1016/j.landusepol.2014.11.011","ISSN":"0264-8377","journalAbbreviation":"Land Use Policy","language":"en","page":"207-216","source":"ScienceDirect","title":"Notions of justice in payments for ecosystem services: Insights from China's Sloping Land Conversion Program in Yunnan Province","title-short":"Notions of justice in payments for ecosystem services","volume":"43","author":[{"family":"He","given":"Jun"},{"family":"Sikor","given":"Thomas"}],"issued":{"date-parts":[["2015",2,1]]}}}],"schema":"https://github.com/citation-style-language/schema/raw/master/csl-citation.json"}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[18]</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2A76B119"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43 householders</w:t>
            </w:r>
          </w:p>
        </w:tc>
        <w:tc>
          <w:tcPr>
            <w:tcW w:w="332" w:type="pct"/>
            <w:shd w:val="clear" w:color="auto" w:fill="auto"/>
            <w:tcMar>
              <w:top w:w="15" w:type="dxa"/>
              <w:left w:w="15" w:type="dxa"/>
              <w:bottom w:w="0" w:type="dxa"/>
              <w:right w:w="15" w:type="dxa"/>
            </w:tcMar>
            <w:vAlign w:val="center"/>
            <w:hideMark/>
          </w:tcPr>
          <w:p w14:paraId="2674CA59"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9</w:t>
            </w:r>
          </w:p>
        </w:tc>
        <w:tc>
          <w:tcPr>
            <w:tcW w:w="332" w:type="pct"/>
            <w:shd w:val="clear" w:color="auto" w:fill="auto"/>
            <w:tcMar>
              <w:top w:w="15" w:type="dxa"/>
              <w:left w:w="15" w:type="dxa"/>
              <w:bottom w:w="0" w:type="dxa"/>
              <w:right w:w="15" w:type="dxa"/>
            </w:tcMar>
            <w:vAlign w:val="center"/>
            <w:hideMark/>
          </w:tcPr>
          <w:p w14:paraId="69838FFF"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77381767"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3DE6CE98"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2003</w:t>
            </w:r>
          </w:p>
        </w:tc>
        <w:tc>
          <w:tcPr>
            <w:tcW w:w="544" w:type="pct"/>
            <w:shd w:val="clear" w:color="auto" w:fill="auto"/>
            <w:tcMar>
              <w:top w:w="15" w:type="dxa"/>
              <w:left w:w="15" w:type="dxa"/>
              <w:bottom w:w="0" w:type="dxa"/>
              <w:right w:w="15" w:type="dxa"/>
            </w:tcMar>
            <w:vAlign w:val="center"/>
            <w:hideMark/>
          </w:tcPr>
          <w:p w14:paraId="5A906094"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Justice</w:t>
            </w:r>
          </w:p>
        </w:tc>
        <w:tc>
          <w:tcPr>
            <w:tcW w:w="498" w:type="pct"/>
            <w:shd w:val="clear" w:color="auto" w:fill="auto"/>
            <w:tcMar>
              <w:top w:w="15" w:type="dxa"/>
              <w:left w:w="15" w:type="dxa"/>
              <w:bottom w:w="0" w:type="dxa"/>
              <w:right w:w="15" w:type="dxa"/>
            </w:tcMar>
            <w:vAlign w:val="center"/>
            <w:hideMark/>
          </w:tcPr>
          <w:p w14:paraId="6FD5F2EB" w14:textId="77777777" w:rsidR="00695CAB" w:rsidRPr="0024133B" w:rsidRDefault="00695CAB" w:rsidP="0075750D">
            <w:pPr>
              <w:widowControl/>
              <w:spacing w:before="120" w:after="120"/>
              <w:jc w:val="center"/>
              <w:rPr>
                <w:rFonts w:ascii="Times New Roman" w:hAnsi="Times New Roman"/>
                <w:kern w:val="0"/>
                <w:szCs w:val="21"/>
              </w:rPr>
            </w:pPr>
          </w:p>
        </w:tc>
        <w:tc>
          <w:tcPr>
            <w:tcW w:w="443" w:type="pct"/>
            <w:shd w:val="clear" w:color="auto" w:fill="auto"/>
            <w:tcMar>
              <w:top w:w="15" w:type="dxa"/>
              <w:left w:w="15" w:type="dxa"/>
              <w:bottom w:w="0" w:type="dxa"/>
              <w:right w:w="15" w:type="dxa"/>
            </w:tcMar>
            <w:vAlign w:val="center"/>
            <w:hideMark/>
          </w:tcPr>
          <w:p w14:paraId="7DD50373" w14:textId="77777777" w:rsidR="00695CAB" w:rsidRPr="0024133B" w:rsidRDefault="00695CAB" w:rsidP="0075750D">
            <w:pPr>
              <w:widowControl/>
              <w:spacing w:before="120" w:after="120"/>
              <w:jc w:val="center"/>
              <w:rPr>
                <w:rFonts w:ascii="Times New Roman" w:hAnsi="Times New Roman"/>
                <w:kern w:val="0"/>
                <w:szCs w:val="21"/>
              </w:rPr>
            </w:pPr>
          </w:p>
        </w:tc>
        <w:tc>
          <w:tcPr>
            <w:tcW w:w="440" w:type="pct"/>
            <w:shd w:val="clear" w:color="auto" w:fill="auto"/>
            <w:tcMar>
              <w:top w:w="15" w:type="dxa"/>
              <w:left w:w="15" w:type="dxa"/>
              <w:bottom w:w="0" w:type="dxa"/>
              <w:right w:w="15" w:type="dxa"/>
            </w:tcMar>
            <w:vAlign w:val="center"/>
            <w:hideMark/>
          </w:tcPr>
          <w:p w14:paraId="6FF24A23" w14:textId="77777777" w:rsidR="00695CAB" w:rsidRPr="0024133B" w:rsidRDefault="00695CAB" w:rsidP="0075750D">
            <w:pPr>
              <w:widowControl/>
              <w:spacing w:before="120" w:after="120"/>
              <w:jc w:val="center"/>
              <w:rPr>
                <w:rFonts w:ascii="Times New Roman" w:hAnsi="Times New Roman"/>
                <w:kern w:val="0"/>
                <w:szCs w:val="21"/>
              </w:rPr>
            </w:pPr>
          </w:p>
        </w:tc>
        <w:tc>
          <w:tcPr>
            <w:tcW w:w="345" w:type="pct"/>
            <w:shd w:val="clear" w:color="auto" w:fill="auto"/>
            <w:tcMar>
              <w:top w:w="15" w:type="dxa"/>
              <w:left w:w="15" w:type="dxa"/>
              <w:bottom w:w="0" w:type="dxa"/>
              <w:right w:w="15" w:type="dxa"/>
            </w:tcMar>
            <w:vAlign w:val="center"/>
            <w:hideMark/>
          </w:tcPr>
          <w:p w14:paraId="3D130831"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7A5570EF"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68BA4456"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11</w:t>
            </w:r>
          </w:p>
        </w:tc>
        <w:tc>
          <w:tcPr>
            <w:tcW w:w="726" w:type="pct"/>
            <w:shd w:val="clear" w:color="auto" w:fill="auto"/>
            <w:tcMar>
              <w:top w:w="15" w:type="dxa"/>
              <w:left w:w="15" w:type="dxa"/>
              <w:bottom w:w="0" w:type="dxa"/>
              <w:right w:w="15" w:type="dxa"/>
            </w:tcMar>
            <w:vAlign w:val="center"/>
            <w:hideMark/>
          </w:tcPr>
          <w:p w14:paraId="4CDC7F2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Jiangxi</w:t>
            </w:r>
          </w:p>
          <w:p w14:paraId="42076BFD"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w:t>
            </w:r>
            <w:proofErr w:type="spellStart"/>
            <w:r w:rsidRPr="0024133B">
              <w:rPr>
                <w:rFonts w:ascii="Times New Roman" w:hAnsi="Times New Roman"/>
                <w:kern w:val="0"/>
                <w:szCs w:val="21"/>
              </w:rPr>
              <w:t>Suichuan</w:t>
            </w:r>
            <w:proofErr w:type="spellEnd"/>
            <w:r w:rsidRPr="0024133B">
              <w:rPr>
                <w:rFonts w:ascii="Times New Roman" w:hAnsi="Times New Roman"/>
                <w:kern w:val="0"/>
                <w:szCs w:val="21"/>
              </w:rPr>
              <w:t>,</w:t>
            </w:r>
            <w:r w:rsidRPr="0024133B">
              <w:rPr>
                <w:szCs w:val="21"/>
              </w:rPr>
              <w:t xml:space="preserve"> </w:t>
            </w:r>
            <w:proofErr w:type="spellStart"/>
            <w:r w:rsidRPr="0024133B">
              <w:rPr>
                <w:rFonts w:ascii="Times New Roman" w:hAnsi="Times New Roman"/>
                <w:kern w:val="0"/>
                <w:szCs w:val="21"/>
              </w:rPr>
              <w:t>Fengchen</w:t>
            </w:r>
            <w:proofErr w:type="spellEnd"/>
            <w:r w:rsidRPr="0024133B">
              <w:rPr>
                <w:rFonts w:ascii="Times New Roman" w:hAnsi="Times New Roman"/>
                <w:kern w:val="0"/>
                <w:szCs w:val="21"/>
              </w:rPr>
              <w:t xml:space="preserve">)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{"citationID":"EPop5Vrn","properties":{"formattedCitation":"[64]","plainCitation":"[64]","noteIndex":0},"citationItems":[{"id":"IuHaWYsY/clMhFL8U","uris":["http://zotero.org/users/local/nuU8Soog/items/KGDF36FD"],"itemData":{"id":151,"type":"article-journal","abstract":"In recent years, many forestry projects have been implemented in developing countries. In China, a variety of large-scale afforestation and reforestation programmes have been carried out with multiple objectives, such as livelihood improvement and carbon sequestration. As in many developing countries, these projects have been implemented in a smallholder context. This paper investigates the determinants of smallholder participation in large forestry projects. Using the case of camellia, it explores the determinants of smallholder participation using a probit regression model. To distinguish between participation in international and government-run projects, a bivariate probit regression model is used. The findings show that only 37% of households in the sample had participated in the Camellia project; a major reason for the low participation rate is perceived tenure insecurity. The results of the bivariate probit model show that the education level of the household head and household size have a positive impact on the likelihood of household participation. The more 'off-farm' activities are taken up in a household, the less likely a household is to participate in an international project. For a government project, household size also has a positive impact on the likelihood of participation. Chinese forestry is diversifying since the devolution of forestland use rights, with a majority of households hesitating to invest, while some risk investment and others depend on government subsidies. The main policy implication is that, if the Chinese government wishes to achieve its goal of 1.68 million hectares of camellia, then improving tenure security is crucial.","container-title":"The International Journal of Entrepreneurship and Innovation","ISSN":"0030-7270","issue":"2","language":"en-GB","note":"number: 2\npublisher: IP Publishing","page":"45-51","source":"eprints.gla.ac.uk","title":"Smallholder participation in large forestry programmes: the Camellia programme in Jiangxi province, China","title-short":"Smallholder participation in large forestry programmes","volume":"15","author":[{"family":"Li","given":"Jia"},{"family":"Bluemling","given":"Bettina"},{"family":"Dries","given":"Liesbeth"},{"family":"Feng","given":"Shuyi"}],"issued":{"date-parts":[["2014",3,1]]}}}],"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[64]</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31C69ACF"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286 householders</w:t>
            </w:r>
          </w:p>
        </w:tc>
        <w:tc>
          <w:tcPr>
            <w:tcW w:w="332" w:type="pct"/>
            <w:shd w:val="clear" w:color="auto" w:fill="auto"/>
            <w:tcMar>
              <w:top w:w="15" w:type="dxa"/>
              <w:left w:w="15" w:type="dxa"/>
              <w:bottom w:w="0" w:type="dxa"/>
              <w:right w:w="15" w:type="dxa"/>
            </w:tcMar>
            <w:vAlign w:val="center"/>
            <w:hideMark/>
          </w:tcPr>
          <w:p w14:paraId="2B2DBF22"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150A3D37"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44DB33D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63</w:t>
            </w:r>
          </w:p>
        </w:tc>
        <w:tc>
          <w:tcPr>
            <w:tcW w:w="343" w:type="pct"/>
            <w:shd w:val="clear" w:color="auto" w:fill="auto"/>
            <w:tcMar>
              <w:top w:w="15" w:type="dxa"/>
              <w:left w:w="15" w:type="dxa"/>
              <w:bottom w:w="0" w:type="dxa"/>
              <w:right w:w="15" w:type="dxa"/>
            </w:tcMar>
            <w:vAlign w:val="center"/>
            <w:hideMark/>
          </w:tcPr>
          <w:p w14:paraId="28614056"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2011</w:t>
            </w:r>
          </w:p>
        </w:tc>
        <w:tc>
          <w:tcPr>
            <w:tcW w:w="544" w:type="pct"/>
            <w:shd w:val="clear" w:color="auto" w:fill="auto"/>
            <w:tcMar>
              <w:top w:w="15" w:type="dxa"/>
              <w:left w:w="15" w:type="dxa"/>
              <w:bottom w:w="0" w:type="dxa"/>
              <w:right w:w="15" w:type="dxa"/>
            </w:tcMar>
            <w:vAlign w:val="center"/>
            <w:hideMark/>
          </w:tcPr>
          <w:p w14:paraId="35EDECA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 xml:space="preserve">Program administrators </w:t>
            </w:r>
          </w:p>
        </w:tc>
        <w:tc>
          <w:tcPr>
            <w:tcW w:w="498" w:type="pct"/>
            <w:shd w:val="clear" w:color="auto" w:fill="auto"/>
            <w:tcMar>
              <w:top w:w="15" w:type="dxa"/>
              <w:left w:w="15" w:type="dxa"/>
              <w:bottom w:w="0" w:type="dxa"/>
              <w:right w:w="15" w:type="dxa"/>
            </w:tcMar>
            <w:vAlign w:val="center"/>
            <w:hideMark/>
          </w:tcPr>
          <w:p w14:paraId="039D5CA1"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Sex of householder</w:t>
            </w:r>
          </w:p>
        </w:tc>
        <w:tc>
          <w:tcPr>
            <w:tcW w:w="443" w:type="pct"/>
            <w:shd w:val="clear" w:color="auto" w:fill="auto"/>
            <w:tcMar>
              <w:top w:w="15" w:type="dxa"/>
              <w:left w:w="15" w:type="dxa"/>
              <w:bottom w:w="0" w:type="dxa"/>
              <w:right w:w="15" w:type="dxa"/>
            </w:tcMar>
            <w:vAlign w:val="center"/>
            <w:hideMark/>
          </w:tcPr>
          <w:p w14:paraId="46F72D4F"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Education-information-property security</w:t>
            </w:r>
          </w:p>
        </w:tc>
        <w:tc>
          <w:tcPr>
            <w:tcW w:w="440" w:type="pct"/>
            <w:shd w:val="clear" w:color="auto" w:fill="auto"/>
            <w:tcMar>
              <w:top w:w="15" w:type="dxa"/>
              <w:left w:w="15" w:type="dxa"/>
              <w:bottom w:w="0" w:type="dxa"/>
              <w:right w:w="15" w:type="dxa"/>
            </w:tcMar>
            <w:vAlign w:val="center"/>
            <w:hideMark/>
          </w:tcPr>
          <w:p w14:paraId="1391F89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Household involvement</w:t>
            </w:r>
          </w:p>
        </w:tc>
        <w:tc>
          <w:tcPr>
            <w:tcW w:w="345" w:type="pct"/>
            <w:shd w:val="clear" w:color="auto" w:fill="auto"/>
            <w:tcMar>
              <w:top w:w="15" w:type="dxa"/>
              <w:left w:w="15" w:type="dxa"/>
              <w:bottom w:w="0" w:type="dxa"/>
              <w:right w:w="15" w:type="dxa"/>
            </w:tcMar>
            <w:vAlign w:val="center"/>
            <w:hideMark/>
          </w:tcPr>
          <w:p w14:paraId="61FB2208"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Opportunity cost</w:t>
            </w:r>
            <w:r w:rsidRPr="0024133B">
              <w:rPr>
                <w:rFonts w:ascii="Times New Roman" w:hAnsi="Times New Roman" w:hint="eastAsia"/>
                <w:kern w:val="0"/>
                <w:szCs w:val="21"/>
              </w:rPr>
              <w:t>s</w:t>
            </w:r>
            <w:r w:rsidRPr="0024133B">
              <w:rPr>
                <w:rFonts w:ascii="Times New Roman" w:hAnsi="Times New Roman"/>
                <w:kern w:val="0"/>
                <w:szCs w:val="21"/>
              </w:rPr>
              <w:t xml:space="preserve"> for land</w:t>
            </w:r>
          </w:p>
        </w:tc>
      </w:tr>
      <w:tr w:rsidR="00695CAB" w:rsidRPr="0024133B" w14:paraId="2FA55894"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3ADA6D79"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12</w:t>
            </w:r>
          </w:p>
        </w:tc>
        <w:tc>
          <w:tcPr>
            <w:tcW w:w="726" w:type="pct"/>
            <w:shd w:val="clear" w:color="auto" w:fill="auto"/>
            <w:tcMar>
              <w:top w:w="15" w:type="dxa"/>
              <w:left w:w="15" w:type="dxa"/>
              <w:bottom w:w="0" w:type="dxa"/>
              <w:right w:w="15" w:type="dxa"/>
            </w:tcMar>
            <w:vAlign w:val="center"/>
            <w:hideMark/>
          </w:tcPr>
          <w:p w14:paraId="68A67D1E"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Sichuan (</w:t>
            </w:r>
            <w:proofErr w:type="spellStart"/>
            <w:r w:rsidRPr="0024133B">
              <w:rPr>
                <w:rFonts w:ascii="Times New Roman" w:hAnsi="Times New Roman"/>
                <w:kern w:val="0"/>
                <w:szCs w:val="21"/>
              </w:rPr>
              <w:t>Nanbu</w:t>
            </w:r>
            <w:proofErr w:type="spellEnd"/>
            <w:r w:rsidRPr="0024133B">
              <w:rPr>
                <w:rFonts w:ascii="Times New Roman" w:hAnsi="Times New Roman"/>
                <w:kern w:val="0"/>
                <w:szCs w:val="21"/>
              </w:rPr>
              <w:t xml:space="preserve">, </w:t>
            </w:r>
            <w:proofErr w:type="spellStart"/>
            <w:r w:rsidRPr="0024133B">
              <w:rPr>
                <w:rFonts w:ascii="Times New Roman" w:hAnsi="Times New Roman"/>
                <w:kern w:val="0"/>
                <w:szCs w:val="21"/>
              </w:rPr>
              <w:t>Nanjiang</w:t>
            </w:r>
            <w:proofErr w:type="spellEnd"/>
            <w:r w:rsidRPr="0024133B">
              <w:rPr>
                <w:rFonts w:ascii="Times New Roman" w:hAnsi="Times New Roman"/>
                <w:kern w:val="0"/>
                <w:szCs w:val="21"/>
              </w:rPr>
              <w:t xml:space="preserve">, </w:t>
            </w:r>
            <w:proofErr w:type="spellStart"/>
            <w:r w:rsidRPr="0024133B">
              <w:rPr>
                <w:rFonts w:ascii="Times New Roman" w:hAnsi="Times New Roman"/>
                <w:kern w:val="0"/>
                <w:szCs w:val="21"/>
              </w:rPr>
              <w:t>Mabian</w:t>
            </w:r>
            <w:proofErr w:type="spellEnd"/>
            <w:r w:rsidRPr="0024133B">
              <w:rPr>
                <w:rFonts w:ascii="Times New Roman" w:hAnsi="Times New Roman"/>
                <w:kern w:val="0"/>
                <w:szCs w:val="21"/>
              </w:rPr>
              <w:t xml:space="preserve">, </w:t>
            </w:r>
            <w:proofErr w:type="spellStart"/>
            <w:r w:rsidRPr="0024133B">
              <w:rPr>
                <w:rFonts w:ascii="Times New Roman" w:hAnsi="Times New Roman"/>
                <w:kern w:val="0"/>
                <w:szCs w:val="21"/>
              </w:rPr>
              <w:t>Muchuan</w:t>
            </w:r>
            <w:proofErr w:type="spellEnd"/>
            <w:r w:rsidRPr="0024133B">
              <w:rPr>
                <w:rFonts w:ascii="Times New Roman" w:hAnsi="Times New Roman"/>
                <w:kern w:val="0"/>
                <w:szCs w:val="21"/>
              </w:rPr>
              <w:t>), Shaanxi (</w:t>
            </w:r>
            <w:proofErr w:type="spellStart"/>
            <w:r w:rsidRPr="0024133B">
              <w:rPr>
                <w:rFonts w:ascii="Times New Roman" w:hAnsi="Times New Roman"/>
                <w:kern w:val="0"/>
                <w:szCs w:val="21"/>
              </w:rPr>
              <w:t>Zhen'an</w:t>
            </w:r>
            <w:proofErr w:type="spellEnd"/>
            <w:r w:rsidRPr="0024133B">
              <w:rPr>
                <w:rFonts w:ascii="Times New Roman" w:hAnsi="Times New Roman"/>
                <w:kern w:val="0"/>
                <w:szCs w:val="21"/>
              </w:rPr>
              <w:t xml:space="preserve">, </w:t>
            </w:r>
            <w:proofErr w:type="spellStart"/>
            <w:r w:rsidRPr="0024133B">
              <w:rPr>
                <w:rFonts w:ascii="Times New Roman" w:hAnsi="Times New Roman"/>
                <w:kern w:val="0"/>
                <w:szCs w:val="21"/>
              </w:rPr>
              <w:t>Yanchang</w:t>
            </w:r>
            <w:proofErr w:type="spellEnd"/>
            <w:r w:rsidRPr="0024133B">
              <w:rPr>
                <w:rFonts w:ascii="Times New Roman" w:hAnsi="Times New Roman"/>
                <w:kern w:val="0"/>
                <w:szCs w:val="21"/>
              </w:rPr>
              <w:t xml:space="preserve">)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{"citationID":"xx0xqYW9","properties":{"formattedCitation":"[65]","plainCitation":"[65]","noteIndex":0},"citationItems":[{"id":"IuHaWYsY/Wsu8rlMA","uris":["http://zotero.org/users/local/nuU8Soog/items/29MWV3CV"],"itemData":{"id":153,"type":"article-journal","abstract":"Past impact evaluations of China's largest ecological restoration program have assumed the absence of self-selection (endogeneity) in the likelihood and extent of participation. Using appropriate testing procedures and a panel dataset of &gt;1000 households over 11years in two primary provinces, we found evidence of self-selection in household behavior of generating off-farm income. But the hypothesis was rejected that there was a significant self-selection component in households' decision to participate in the program and generate farming income. Evaluations ignoring the self-section for off-farm labor were found to be biased and overly positive on program income impact. Self-selection should thus be explicitly included, unless there is counter evidence, in any study of this kind.","container-title":"Ecological Economics","DOI":"10.1016/j.ecolecon.2017.11.020","ISSN":"0921-8009","journalAbbreviation":"Ecological Economics","language":"en","page":"380-390","source":"ScienceDirect","title":"Households' Decisions to Participate in China's Sloping Land Conversion Program and Reallocate Their Labour Times: Is There Endogeneity Bias?","title-short":"Households' Decisions to Participate in China's Sloping Land Conversion Program and Reallocate Their Labour Times","volume":"145","author":[{"family":"Yin","given":"Runsheng"},{"family":"Liu","given":"Hao"},{"family":"Liu","given":"Can"},{"family":"Lu","given":"Gang"}],"issued":{"date-parts":[["2018",3,1]]}}}],"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[65]</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561AD0A6"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5DC34798"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279E8383"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072804A5"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2546EF6E"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1999-2008</w:t>
            </w:r>
          </w:p>
        </w:tc>
        <w:tc>
          <w:tcPr>
            <w:tcW w:w="544" w:type="pct"/>
            <w:shd w:val="clear" w:color="auto" w:fill="auto"/>
            <w:tcMar>
              <w:top w:w="15" w:type="dxa"/>
              <w:left w:w="15" w:type="dxa"/>
              <w:bottom w:w="0" w:type="dxa"/>
              <w:right w:w="15" w:type="dxa"/>
            </w:tcMar>
            <w:vAlign w:val="center"/>
            <w:hideMark/>
          </w:tcPr>
          <w:p w14:paraId="2D5C1F5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Off-farm labor allocation</w:t>
            </w:r>
          </w:p>
        </w:tc>
        <w:tc>
          <w:tcPr>
            <w:tcW w:w="498" w:type="pct"/>
            <w:shd w:val="clear" w:color="auto" w:fill="auto"/>
            <w:tcMar>
              <w:top w:w="15" w:type="dxa"/>
              <w:left w:w="15" w:type="dxa"/>
              <w:bottom w:w="0" w:type="dxa"/>
              <w:right w:w="15" w:type="dxa"/>
            </w:tcMar>
            <w:vAlign w:val="center"/>
            <w:hideMark/>
          </w:tcPr>
          <w:p w14:paraId="422BE271" w14:textId="77777777" w:rsidR="00695CAB" w:rsidRPr="0024133B" w:rsidRDefault="00695CAB" w:rsidP="0075750D">
            <w:pPr>
              <w:widowControl/>
              <w:spacing w:before="120" w:after="120"/>
              <w:jc w:val="center"/>
              <w:rPr>
                <w:rFonts w:ascii="Times New Roman" w:hAnsi="Times New Roman"/>
                <w:kern w:val="0"/>
                <w:szCs w:val="21"/>
              </w:rPr>
            </w:pPr>
          </w:p>
        </w:tc>
        <w:tc>
          <w:tcPr>
            <w:tcW w:w="443" w:type="pct"/>
            <w:shd w:val="clear" w:color="auto" w:fill="auto"/>
            <w:tcMar>
              <w:top w:w="15" w:type="dxa"/>
              <w:left w:w="15" w:type="dxa"/>
              <w:bottom w:w="0" w:type="dxa"/>
              <w:right w:w="15" w:type="dxa"/>
            </w:tcMar>
            <w:vAlign w:val="center"/>
            <w:hideMark/>
          </w:tcPr>
          <w:p w14:paraId="289AD09C" w14:textId="77777777" w:rsidR="00695CAB" w:rsidRPr="0024133B" w:rsidRDefault="00695CAB" w:rsidP="0075750D">
            <w:pPr>
              <w:widowControl/>
              <w:spacing w:before="120" w:after="120"/>
              <w:jc w:val="center"/>
              <w:rPr>
                <w:rFonts w:ascii="Times New Roman" w:hAnsi="Times New Roman"/>
                <w:kern w:val="0"/>
                <w:szCs w:val="21"/>
              </w:rPr>
            </w:pPr>
          </w:p>
        </w:tc>
        <w:tc>
          <w:tcPr>
            <w:tcW w:w="440" w:type="pct"/>
            <w:shd w:val="clear" w:color="auto" w:fill="auto"/>
            <w:tcMar>
              <w:top w:w="15" w:type="dxa"/>
              <w:left w:w="15" w:type="dxa"/>
              <w:bottom w:w="0" w:type="dxa"/>
              <w:right w:w="15" w:type="dxa"/>
            </w:tcMar>
            <w:vAlign w:val="center"/>
            <w:hideMark/>
          </w:tcPr>
          <w:p w14:paraId="5641B60E" w14:textId="77777777" w:rsidR="00695CAB" w:rsidRPr="0024133B" w:rsidRDefault="00695CAB" w:rsidP="0075750D">
            <w:pPr>
              <w:widowControl/>
              <w:spacing w:before="120" w:after="120"/>
              <w:jc w:val="center"/>
              <w:rPr>
                <w:rFonts w:ascii="Times New Roman" w:hAnsi="Times New Roman"/>
                <w:kern w:val="0"/>
                <w:szCs w:val="21"/>
              </w:rPr>
            </w:pPr>
          </w:p>
        </w:tc>
        <w:tc>
          <w:tcPr>
            <w:tcW w:w="345" w:type="pct"/>
            <w:shd w:val="clear" w:color="auto" w:fill="auto"/>
            <w:tcMar>
              <w:top w:w="15" w:type="dxa"/>
              <w:left w:w="15" w:type="dxa"/>
              <w:bottom w:w="0" w:type="dxa"/>
              <w:right w:w="15" w:type="dxa"/>
            </w:tcMar>
            <w:vAlign w:val="center"/>
            <w:hideMark/>
          </w:tcPr>
          <w:p w14:paraId="31F21892"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646AA58D"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754400CD"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13</w:t>
            </w:r>
          </w:p>
        </w:tc>
        <w:tc>
          <w:tcPr>
            <w:tcW w:w="726" w:type="pct"/>
            <w:shd w:val="clear" w:color="auto" w:fill="auto"/>
            <w:tcMar>
              <w:top w:w="15" w:type="dxa"/>
              <w:left w:w="15" w:type="dxa"/>
              <w:bottom w:w="0" w:type="dxa"/>
              <w:right w:w="15" w:type="dxa"/>
            </w:tcMar>
            <w:vAlign w:val="center"/>
            <w:hideMark/>
          </w:tcPr>
          <w:p w14:paraId="4CDFACE9"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 xml:space="preserve">Sichuan (Wolong Nature Reserve)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9Ws9MmNH","properties":{"formattedCitation":"[35]","plainCitation":"[35]","noteIndex":0},"citationItems":[{"id":"IuHaWYsY/y4lMfv38","uris":["http://zotero.org/users/local/nuU8Soog/items/W2QHQMGH"],"itemData":{"id":58,"type":"article-journal","container-title":"Conservation Biology","DOI":"10.1111/j.1523-1739.2010.01551.x","ISSN":"08888892","issue":"6","language":"en","page":"1469-1478","source":"DOI.org (Crossref)","title":"Using Cost-Effective Targeting to Enhance the Efficiency of Conservation Investments in Payments for Ecosystem Services: Cost-Effective Targeting of PES","title-short":"Using Cost-Effective Targeting to Enhance the Efficiency of Conservation Investments in Payments for Ecosystem Services","volume":"24","author":[{"family":"Chen","given":"Xiaodong"},{"family":"Lupi","given":"Frank"},{"family":"Viña","given":"Andrés"},{"family":"He","given":"Guangming"},{"family":"Liu","given":"Jianguo"}],"issued":{"date-parts":[["2010",12]]}}}],"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[35]</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3BF94AF9"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304 householders</w:t>
            </w:r>
          </w:p>
        </w:tc>
        <w:tc>
          <w:tcPr>
            <w:tcW w:w="332" w:type="pct"/>
            <w:shd w:val="clear" w:color="auto" w:fill="auto"/>
            <w:tcMar>
              <w:top w:w="15" w:type="dxa"/>
              <w:left w:w="15" w:type="dxa"/>
              <w:bottom w:w="0" w:type="dxa"/>
              <w:right w:w="15" w:type="dxa"/>
            </w:tcMar>
            <w:vAlign w:val="center"/>
            <w:hideMark/>
          </w:tcPr>
          <w:p w14:paraId="65BE149C"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4829A2ED"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005C3A6A"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78</w:t>
            </w:r>
          </w:p>
        </w:tc>
        <w:tc>
          <w:tcPr>
            <w:tcW w:w="343" w:type="pct"/>
            <w:shd w:val="clear" w:color="auto" w:fill="auto"/>
            <w:tcMar>
              <w:top w:w="15" w:type="dxa"/>
              <w:left w:w="15" w:type="dxa"/>
              <w:bottom w:w="0" w:type="dxa"/>
              <w:right w:w="15" w:type="dxa"/>
            </w:tcMar>
            <w:vAlign w:val="center"/>
            <w:hideMark/>
          </w:tcPr>
          <w:p w14:paraId="6D399F97"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2003</w:t>
            </w:r>
          </w:p>
        </w:tc>
        <w:tc>
          <w:tcPr>
            <w:tcW w:w="544" w:type="pct"/>
            <w:shd w:val="clear" w:color="auto" w:fill="auto"/>
            <w:tcMar>
              <w:top w:w="15" w:type="dxa"/>
              <w:left w:w="15" w:type="dxa"/>
              <w:bottom w:w="0" w:type="dxa"/>
              <w:right w:w="15" w:type="dxa"/>
            </w:tcMar>
            <w:vAlign w:val="center"/>
            <w:hideMark/>
          </w:tcPr>
          <w:p w14:paraId="56AC4EB4"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Household labor endowments</w:t>
            </w:r>
          </w:p>
        </w:tc>
        <w:tc>
          <w:tcPr>
            <w:tcW w:w="498" w:type="pct"/>
            <w:shd w:val="clear" w:color="auto" w:fill="auto"/>
            <w:tcMar>
              <w:top w:w="15" w:type="dxa"/>
              <w:left w:w="15" w:type="dxa"/>
              <w:bottom w:w="0" w:type="dxa"/>
              <w:right w:w="15" w:type="dxa"/>
            </w:tcMar>
            <w:vAlign w:val="center"/>
            <w:hideMark/>
          </w:tcPr>
          <w:p w14:paraId="2B54385E" w14:textId="77777777" w:rsidR="00695CAB" w:rsidRPr="0024133B" w:rsidRDefault="00695CAB" w:rsidP="0075750D">
            <w:pPr>
              <w:widowControl/>
              <w:spacing w:before="120" w:after="120"/>
              <w:jc w:val="center"/>
              <w:rPr>
                <w:rFonts w:ascii="Times New Roman" w:hAnsi="Times New Roman"/>
                <w:kern w:val="0"/>
                <w:szCs w:val="21"/>
              </w:rPr>
            </w:pPr>
          </w:p>
        </w:tc>
        <w:tc>
          <w:tcPr>
            <w:tcW w:w="443" w:type="pct"/>
            <w:shd w:val="clear" w:color="auto" w:fill="auto"/>
            <w:noWrap/>
            <w:tcMar>
              <w:top w:w="15" w:type="dxa"/>
              <w:left w:w="15" w:type="dxa"/>
              <w:bottom w:w="0" w:type="dxa"/>
              <w:right w:w="15" w:type="dxa"/>
            </w:tcMar>
            <w:vAlign w:val="center"/>
            <w:hideMark/>
          </w:tcPr>
          <w:p w14:paraId="590333FB" w14:textId="77777777" w:rsidR="00695CAB" w:rsidRPr="0024133B" w:rsidRDefault="00695CAB" w:rsidP="0075750D">
            <w:pPr>
              <w:widowControl/>
              <w:spacing w:before="120" w:after="120"/>
              <w:jc w:val="center"/>
              <w:rPr>
                <w:rFonts w:ascii="Times New Roman" w:hAnsi="Times New Roman"/>
                <w:kern w:val="0"/>
                <w:szCs w:val="21"/>
              </w:rPr>
            </w:pPr>
          </w:p>
        </w:tc>
        <w:tc>
          <w:tcPr>
            <w:tcW w:w="440" w:type="pct"/>
            <w:shd w:val="clear" w:color="auto" w:fill="auto"/>
            <w:tcMar>
              <w:top w:w="15" w:type="dxa"/>
              <w:left w:w="15" w:type="dxa"/>
              <w:bottom w:w="0" w:type="dxa"/>
              <w:right w:w="15" w:type="dxa"/>
            </w:tcMar>
            <w:vAlign w:val="center"/>
            <w:hideMark/>
          </w:tcPr>
          <w:p w14:paraId="6AEE091C" w14:textId="77777777" w:rsidR="00695CAB" w:rsidRPr="0024133B" w:rsidRDefault="00695CAB" w:rsidP="0075750D">
            <w:pPr>
              <w:widowControl/>
              <w:spacing w:before="120" w:after="120"/>
              <w:jc w:val="center"/>
              <w:rPr>
                <w:rFonts w:ascii="Times New Roman" w:hAnsi="Times New Roman"/>
                <w:kern w:val="0"/>
                <w:szCs w:val="21"/>
              </w:rPr>
            </w:pPr>
          </w:p>
        </w:tc>
        <w:tc>
          <w:tcPr>
            <w:tcW w:w="345" w:type="pct"/>
            <w:shd w:val="clear" w:color="auto" w:fill="auto"/>
            <w:tcMar>
              <w:top w:w="15" w:type="dxa"/>
              <w:left w:w="15" w:type="dxa"/>
              <w:bottom w:w="0" w:type="dxa"/>
              <w:right w:w="15" w:type="dxa"/>
            </w:tcMar>
            <w:vAlign w:val="center"/>
            <w:hideMark/>
          </w:tcPr>
          <w:p w14:paraId="48E06AB6"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178B2164" w14:textId="77777777" w:rsidTr="0075750D">
        <w:trPr>
          <w:trHeight w:val="51"/>
          <w:jc w:val="center"/>
        </w:trPr>
        <w:tc>
          <w:tcPr>
            <w:tcW w:w="166" w:type="pct"/>
            <w:shd w:val="clear" w:color="auto" w:fill="auto"/>
            <w:tcMar>
              <w:top w:w="15" w:type="dxa"/>
              <w:left w:w="15" w:type="dxa"/>
              <w:bottom w:w="0" w:type="dxa"/>
              <w:right w:w="15" w:type="dxa"/>
            </w:tcMar>
            <w:vAlign w:val="center"/>
            <w:hideMark/>
          </w:tcPr>
          <w:p w14:paraId="6A5DFF77"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14</w:t>
            </w:r>
          </w:p>
        </w:tc>
        <w:tc>
          <w:tcPr>
            <w:tcW w:w="726" w:type="pct"/>
            <w:shd w:val="clear" w:color="auto" w:fill="auto"/>
            <w:tcMar>
              <w:top w:w="15" w:type="dxa"/>
              <w:left w:w="15" w:type="dxa"/>
              <w:bottom w:w="0" w:type="dxa"/>
              <w:right w:w="15" w:type="dxa"/>
            </w:tcMar>
            <w:vAlign w:val="center"/>
            <w:hideMark/>
          </w:tcPr>
          <w:p w14:paraId="331E71FD"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Shaanxi (</w:t>
            </w:r>
            <w:proofErr w:type="spellStart"/>
            <w:r w:rsidRPr="0024133B">
              <w:rPr>
                <w:rFonts w:ascii="Times New Roman" w:hAnsi="Times New Roman"/>
                <w:kern w:val="0"/>
                <w:szCs w:val="21"/>
              </w:rPr>
              <w:t>Wuqi</w:t>
            </w:r>
            <w:proofErr w:type="spellEnd"/>
            <w:r w:rsidRPr="0024133B">
              <w:rPr>
                <w:rFonts w:ascii="Times New Roman" w:hAnsi="Times New Roman"/>
                <w:kern w:val="0"/>
                <w:szCs w:val="21"/>
              </w:rPr>
              <w:t xml:space="preserve">)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7zvFjFYl","properties":{"formattedCitation":"[66]","plainCitation":"[66]","noteIndex":0},"citationItems":[{"id":"IuHaWYsY/8mV2Ilss","uris":["http://zotero.org/users/local/nuU8Soog/items/B628SPT9"],"itemData":{"id":155,"type":"article-journal","container-title":"China Population,Resources and Environment","page":"132-140","title":"Reconversion willingness of compensation-expired households in key phase of Sloping Land Conversion Program","volume":"27","author":[{"family":"Ren","given":"Linjing"},{"family":"Li","given":"Jie"}],"issued":{"date-parts":[["2017"]]}}}],"schema":"https://github.com/citation-style-language/schema/raw/master/csl-citation.json"}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[66]</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3207D71F"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296 householders</w:t>
            </w:r>
          </w:p>
        </w:tc>
        <w:tc>
          <w:tcPr>
            <w:tcW w:w="332" w:type="pct"/>
            <w:shd w:val="clear" w:color="auto" w:fill="auto"/>
            <w:tcMar>
              <w:top w:w="15" w:type="dxa"/>
              <w:left w:w="15" w:type="dxa"/>
              <w:bottom w:w="0" w:type="dxa"/>
              <w:right w:w="15" w:type="dxa"/>
            </w:tcMar>
            <w:vAlign w:val="center"/>
            <w:hideMark/>
          </w:tcPr>
          <w:p w14:paraId="71D47C6D"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18</w:t>
            </w:r>
          </w:p>
        </w:tc>
        <w:tc>
          <w:tcPr>
            <w:tcW w:w="332" w:type="pct"/>
            <w:shd w:val="clear" w:color="auto" w:fill="auto"/>
            <w:tcMar>
              <w:top w:w="15" w:type="dxa"/>
              <w:left w:w="15" w:type="dxa"/>
              <w:bottom w:w="0" w:type="dxa"/>
              <w:right w:w="15" w:type="dxa"/>
            </w:tcMar>
            <w:vAlign w:val="center"/>
            <w:hideMark/>
          </w:tcPr>
          <w:p w14:paraId="7FB65C54"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38</w:t>
            </w:r>
          </w:p>
        </w:tc>
        <w:tc>
          <w:tcPr>
            <w:tcW w:w="332" w:type="pct"/>
            <w:shd w:val="clear" w:color="auto" w:fill="auto"/>
            <w:tcMar>
              <w:top w:w="15" w:type="dxa"/>
              <w:left w:w="15" w:type="dxa"/>
              <w:bottom w:w="0" w:type="dxa"/>
              <w:right w:w="15" w:type="dxa"/>
            </w:tcMar>
            <w:vAlign w:val="center"/>
            <w:hideMark/>
          </w:tcPr>
          <w:p w14:paraId="1200F0BD"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44</w:t>
            </w:r>
          </w:p>
        </w:tc>
        <w:tc>
          <w:tcPr>
            <w:tcW w:w="343" w:type="pct"/>
            <w:shd w:val="clear" w:color="auto" w:fill="auto"/>
            <w:tcMar>
              <w:top w:w="15" w:type="dxa"/>
              <w:left w:w="15" w:type="dxa"/>
              <w:bottom w:w="0" w:type="dxa"/>
              <w:right w:w="15" w:type="dxa"/>
            </w:tcMar>
            <w:vAlign w:val="center"/>
            <w:hideMark/>
          </w:tcPr>
          <w:p w14:paraId="49203DA1"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2015</w:t>
            </w:r>
          </w:p>
        </w:tc>
        <w:tc>
          <w:tcPr>
            <w:tcW w:w="544" w:type="pct"/>
            <w:shd w:val="clear" w:color="auto" w:fill="auto"/>
            <w:tcMar>
              <w:top w:w="15" w:type="dxa"/>
              <w:left w:w="15" w:type="dxa"/>
              <w:bottom w:w="0" w:type="dxa"/>
              <w:right w:w="15" w:type="dxa"/>
            </w:tcMar>
            <w:vAlign w:val="center"/>
            <w:hideMark/>
          </w:tcPr>
          <w:p w14:paraId="74E92174"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Justice</w:t>
            </w:r>
          </w:p>
        </w:tc>
        <w:tc>
          <w:tcPr>
            <w:tcW w:w="498" w:type="pct"/>
            <w:shd w:val="clear" w:color="auto" w:fill="auto"/>
            <w:noWrap/>
            <w:tcMar>
              <w:top w:w="15" w:type="dxa"/>
              <w:left w:w="15" w:type="dxa"/>
              <w:bottom w:w="0" w:type="dxa"/>
              <w:right w:w="15" w:type="dxa"/>
            </w:tcMar>
            <w:vAlign w:val="center"/>
            <w:hideMark/>
          </w:tcPr>
          <w:p w14:paraId="2EB5426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Clear information</w:t>
            </w:r>
          </w:p>
        </w:tc>
        <w:tc>
          <w:tcPr>
            <w:tcW w:w="443" w:type="pct"/>
            <w:shd w:val="clear" w:color="auto" w:fill="auto"/>
            <w:noWrap/>
            <w:tcMar>
              <w:top w:w="15" w:type="dxa"/>
              <w:left w:w="15" w:type="dxa"/>
              <w:bottom w:w="0" w:type="dxa"/>
              <w:right w:w="15" w:type="dxa"/>
            </w:tcMar>
            <w:vAlign w:val="center"/>
            <w:hideMark/>
          </w:tcPr>
          <w:p w14:paraId="7AC1F6A2"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Property security</w:t>
            </w:r>
          </w:p>
        </w:tc>
        <w:tc>
          <w:tcPr>
            <w:tcW w:w="440" w:type="pct"/>
            <w:shd w:val="clear" w:color="auto" w:fill="auto"/>
            <w:tcMar>
              <w:top w:w="15" w:type="dxa"/>
              <w:left w:w="15" w:type="dxa"/>
              <w:bottom w:w="0" w:type="dxa"/>
              <w:right w:w="15" w:type="dxa"/>
            </w:tcMar>
            <w:vAlign w:val="center"/>
            <w:hideMark/>
          </w:tcPr>
          <w:p w14:paraId="7E1F970A"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Opportunity cost</w:t>
            </w:r>
            <w:r w:rsidRPr="0024133B">
              <w:rPr>
                <w:rFonts w:ascii="Times New Roman" w:hAnsi="Times New Roman" w:hint="eastAsia"/>
                <w:kern w:val="0"/>
                <w:szCs w:val="21"/>
              </w:rPr>
              <w:t>s</w:t>
            </w:r>
            <w:r w:rsidRPr="0024133B">
              <w:rPr>
                <w:rFonts w:ascii="Times New Roman" w:hAnsi="Times New Roman"/>
                <w:kern w:val="0"/>
                <w:szCs w:val="21"/>
              </w:rPr>
              <w:t xml:space="preserve"> for land</w:t>
            </w:r>
          </w:p>
        </w:tc>
        <w:tc>
          <w:tcPr>
            <w:tcW w:w="345" w:type="pct"/>
            <w:shd w:val="clear" w:color="auto" w:fill="auto"/>
            <w:tcMar>
              <w:top w:w="15" w:type="dxa"/>
              <w:left w:w="15" w:type="dxa"/>
              <w:bottom w:w="0" w:type="dxa"/>
              <w:right w:w="15" w:type="dxa"/>
            </w:tcMar>
            <w:vAlign w:val="center"/>
            <w:hideMark/>
          </w:tcPr>
          <w:p w14:paraId="1CF253F2"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Slope</w:t>
            </w:r>
          </w:p>
        </w:tc>
      </w:tr>
      <w:tr w:rsidR="00695CAB" w:rsidRPr="0024133B" w14:paraId="178577E1"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4F8CAED4"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lastRenderedPageBreak/>
              <w:t>15</w:t>
            </w:r>
          </w:p>
        </w:tc>
        <w:tc>
          <w:tcPr>
            <w:tcW w:w="726" w:type="pct"/>
            <w:shd w:val="clear" w:color="auto" w:fill="auto"/>
            <w:tcMar>
              <w:top w:w="15" w:type="dxa"/>
              <w:left w:w="15" w:type="dxa"/>
              <w:bottom w:w="0" w:type="dxa"/>
              <w:right w:w="15" w:type="dxa"/>
            </w:tcMar>
            <w:vAlign w:val="center"/>
            <w:hideMark/>
          </w:tcPr>
          <w:p w14:paraId="631BC904"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Xinjiang (</w:t>
            </w:r>
            <w:proofErr w:type="spellStart"/>
            <w:r w:rsidRPr="0024133B">
              <w:rPr>
                <w:rFonts w:ascii="Times New Roman" w:hAnsi="Times New Roman"/>
                <w:kern w:val="0"/>
                <w:szCs w:val="21"/>
              </w:rPr>
              <w:t>Akesu</w:t>
            </w:r>
            <w:proofErr w:type="spellEnd"/>
            <w:r w:rsidRPr="0024133B">
              <w:rPr>
                <w:rFonts w:ascii="Times New Roman" w:hAnsi="Times New Roman"/>
                <w:kern w:val="0"/>
                <w:szCs w:val="21"/>
              </w:rPr>
              <w:t xml:space="preserve">)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{"citationID":"Ga2GQIPJ","properties":{"formattedCitation":"[67]","plainCitation":"[67]","noteIndex":0},"citationItems":[{"id":"IuHaWYsY/r8ou7STq","uris":["http://zotero.org/users/local/nuU8Soog/items/YSAVB6Q5"],"itemData":{"id":157,"type":"article-journal","abstract":"We use face-to-face interview survey data collected in 2017 from farmers located in Xinjiang province, China to identify influencing factors for willingness to adopt the new round of the Sloping Land Conversion Program (SLCP). Results indicate that socio-demographic characteristics and the livelihood endowment of rural households, policy improvements, and external supports influence farmers' willingness to participate in the new round of the SLCP. We also find that it is essential to improve farmers' off-farm skills and forestry management abilities, optimize the compensation scheme of the SLCP, and strengthen the supporting capacity of forestry specialized cooperatives to enhance farmers' enthusiasm for participating in the new round of the SLCP. We discuss the implications of these findings.","container-title":"Ecological Economics","issue":"C","language":"en","note":"publisher: Elsevier","page":"121-132","source":"ideas.repec.org","title":"Policy improvements and farmers' willingness to participate: Insights from the new round of China's Sloping Land Conversion Program","title-short":"Policy improvements and farmers' willingness to participate","volume":"162","author":[{"family":"Zhang","given":"Zhaohui"},{"family":"Paudel","given":"Krishna P."}],"issued":{"date-parts":[["2019"]]}}}],"schema":"https://github.com/citation-style-language/schema/raw/master/csl-citation.json"}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[67]</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3BFB7BAA"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1451 householders</w:t>
            </w:r>
          </w:p>
        </w:tc>
        <w:tc>
          <w:tcPr>
            <w:tcW w:w="332" w:type="pct"/>
            <w:shd w:val="clear" w:color="auto" w:fill="auto"/>
            <w:tcMar>
              <w:top w:w="15" w:type="dxa"/>
              <w:left w:w="15" w:type="dxa"/>
              <w:bottom w:w="0" w:type="dxa"/>
              <w:right w:w="15" w:type="dxa"/>
            </w:tcMar>
            <w:vAlign w:val="center"/>
            <w:hideMark/>
          </w:tcPr>
          <w:p w14:paraId="39C40119"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2F6AFBD7"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364C4631"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272D8C89"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2015</w:t>
            </w:r>
          </w:p>
        </w:tc>
        <w:tc>
          <w:tcPr>
            <w:tcW w:w="544" w:type="pct"/>
            <w:shd w:val="clear" w:color="auto" w:fill="auto"/>
            <w:tcMar>
              <w:top w:w="15" w:type="dxa"/>
              <w:left w:w="15" w:type="dxa"/>
              <w:bottom w:w="0" w:type="dxa"/>
              <w:right w:w="15" w:type="dxa"/>
            </w:tcMar>
            <w:vAlign w:val="center"/>
            <w:hideMark/>
          </w:tcPr>
          <w:p w14:paraId="1975293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Income</w:t>
            </w:r>
          </w:p>
        </w:tc>
        <w:tc>
          <w:tcPr>
            <w:tcW w:w="498" w:type="pct"/>
            <w:shd w:val="clear" w:color="auto" w:fill="auto"/>
            <w:tcMar>
              <w:top w:w="15" w:type="dxa"/>
              <w:left w:w="15" w:type="dxa"/>
              <w:bottom w:w="0" w:type="dxa"/>
              <w:right w:w="15" w:type="dxa"/>
            </w:tcMar>
            <w:vAlign w:val="center"/>
            <w:hideMark/>
          </w:tcPr>
          <w:p w14:paraId="3EBB7E8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Kinship trust</w:t>
            </w:r>
          </w:p>
        </w:tc>
        <w:tc>
          <w:tcPr>
            <w:tcW w:w="443" w:type="pct"/>
            <w:shd w:val="clear" w:color="auto" w:fill="auto"/>
            <w:tcMar>
              <w:top w:w="15" w:type="dxa"/>
              <w:left w:w="15" w:type="dxa"/>
              <w:bottom w:w="0" w:type="dxa"/>
              <w:right w:w="15" w:type="dxa"/>
            </w:tcMar>
            <w:vAlign w:val="center"/>
            <w:hideMark/>
          </w:tcPr>
          <w:p w14:paraId="39F19619"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Forest management skills</w:t>
            </w:r>
          </w:p>
        </w:tc>
        <w:tc>
          <w:tcPr>
            <w:tcW w:w="440" w:type="pct"/>
            <w:shd w:val="clear" w:color="auto" w:fill="auto"/>
            <w:tcMar>
              <w:top w:w="15" w:type="dxa"/>
              <w:left w:w="15" w:type="dxa"/>
              <w:bottom w:w="0" w:type="dxa"/>
              <w:right w:w="15" w:type="dxa"/>
            </w:tcMar>
            <w:vAlign w:val="center"/>
            <w:hideMark/>
          </w:tcPr>
          <w:p w14:paraId="04181880"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Financial incentive-non-poverty household</w:t>
            </w:r>
          </w:p>
        </w:tc>
        <w:tc>
          <w:tcPr>
            <w:tcW w:w="345" w:type="pct"/>
            <w:shd w:val="clear" w:color="auto" w:fill="auto"/>
            <w:tcMar>
              <w:top w:w="15" w:type="dxa"/>
              <w:left w:w="15" w:type="dxa"/>
              <w:bottom w:w="0" w:type="dxa"/>
              <w:right w:w="15" w:type="dxa"/>
            </w:tcMar>
            <w:vAlign w:val="center"/>
            <w:hideMark/>
          </w:tcPr>
          <w:p w14:paraId="2B708AB1"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615F7E94"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7654A277"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16</w:t>
            </w:r>
          </w:p>
        </w:tc>
        <w:tc>
          <w:tcPr>
            <w:tcW w:w="726" w:type="pct"/>
            <w:shd w:val="clear" w:color="auto" w:fill="auto"/>
            <w:tcMar>
              <w:top w:w="15" w:type="dxa"/>
              <w:left w:w="15" w:type="dxa"/>
              <w:bottom w:w="0" w:type="dxa"/>
              <w:right w:w="15" w:type="dxa"/>
            </w:tcMar>
            <w:vAlign w:val="center"/>
            <w:hideMark/>
          </w:tcPr>
          <w:p w14:paraId="27E9A41F"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Shaanxi (</w:t>
            </w:r>
            <w:proofErr w:type="spellStart"/>
            <w:r w:rsidRPr="0024133B">
              <w:rPr>
                <w:rFonts w:ascii="Times New Roman" w:hAnsi="Times New Roman"/>
                <w:kern w:val="0"/>
                <w:szCs w:val="21"/>
              </w:rPr>
              <w:t>Mizhi</w:t>
            </w:r>
            <w:proofErr w:type="spellEnd"/>
            <w:r w:rsidRPr="0024133B">
              <w:rPr>
                <w:rFonts w:ascii="Times New Roman" w:hAnsi="Times New Roman"/>
                <w:kern w:val="0"/>
                <w:szCs w:val="21"/>
              </w:rPr>
              <w:t xml:space="preserve">, </w:t>
            </w:r>
            <w:proofErr w:type="spellStart"/>
            <w:r w:rsidRPr="0024133B">
              <w:rPr>
                <w:rFonts w:ascii="Times New Roman" w:hAnsi="Times New Roman"/>
                <w:kern w:val="0"/>
                <w:szCs w:val="21"/>
              </w:rPr>
              <w:t>An'sai</w:t>
            </w:r>
            <w:proofErr w:type="spellEnd"/>
            <w:r w:rsidRPr="0024133B">
              <w:rPr>
                <w:rFonts w:ascii="Times New Roman" w:hAnsi="Times New Roman"/>
                <w:kern w:val="0"/>
                <w:szCs w:val="21"/>
              </w:rPr>
              <w:t xml:space="preserve">, </w:t>
            </w:r>
            <w:proofErr w:type="spellStart"/>
            <w:r w:rsidRPr="0024133B">
              <w:rPr>
                <w:rFonts w:ascii="Times New Roman" w:hAnsi="Times New Roman"/>
                <w:kern w:val="0"/>
                <w:szCs w:val="21"/>
              </w:rPr>
              <w:t>Linyou</w:t>
            </w:r>
            <w:proofErr w:type="spellEnd"/>
            <w:r w:rsidRPr="0024133B">
              <w:rPr>
                <w:rFonts w:ascii="Times New Roman" w:hAnsi="Times New Roman"/>
                <w:kern w:val="0"/>
                <w:szCs w:val="21"/>
              </w:rPr>
              <w:t xml:space="preserve">)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B9fa4ZIR","properties":{"formattedCitation":"[68]","plainCitation":"[68]","noteIndex":0},"citationItems":[{"id":"IuHaWYsY/ankDdDAy","uris":["http://zotero.org/users/local/nuU8Soog/items/KGJ3URJ6"],"itemData":{"id":159,"type":"article-journal","container-title":"Problems of forestry economics","page":"185-188","title":"Analyzing the willingness of farmers in Grain of Green- A survey of farmers' willingness in Shannxi province","volume":"27","author":[{"family":"Wang","given":"Bing"},{"family":"Hou","given":"Junqi"},{"family":"Han","given":"Souchang"}],"issued":{"date-parts":[["2007"]]}}}],"schema":"https://github.com/citation-style-language/schema/raw/master/csl-citation.json"}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[68]</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4949FA86"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205 householders</w:t>
            </w:r>
          </w:p>
        </w:tc>
        <w:tc>
          <w:tcPr>
            <w:tcW w:w="332" w:type="pct"/>
            <w:shd w:val="clear" w:color="auto" w:fill="auto"/>
            <w:tcMar>
              <w:top w:w="15" w:type="dxa"/>
              <w:left w:w="15" w:type="dxa"/>
              <w:bottom w:w="0" w:type="dxa"/>
              <w:right w:w="15" w:type="dxa"/>
            </w:tcMar>
            <w:vAlign w:val="center"/>
            <w:hideMark/>
          </w:tcPr>
          <w:p w14:paraId="361CC889"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09461227"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60332899"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25A96BE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2005</w:t>
            </w:r>
          </w:p>
        </w:tc>
        <w:tc>
          <w:tcPr>
            <w:tcW w:w="544" w:type="pct"/>
            <w:shd w:val="clear" w:color="auto" w:fill="auto"/>
            <w:tcMar>
              <w:top w:w="15" w:type="dxa"/>
              <w:left w:w="15" w:type="dxa"/>
              <w:bottom w:w="0" w:type="dxa"/>
              <w:right w:w="15" w:type="dxa"/>
            </w:tcMar>
            <w:vAlign w:val="center"/>
            <w:hideMark/>
          </w:tcPr>
          <w:p w14:paraId="6F9D02C3"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Income</w:t>
            </w:r>
          </w:p>
        </w:tc>
        <w:tc>
          <w:tcPr>
            <w:tcW w:w="498" w:type="pct"/>
            <w:shd w:val="clear" w:color="auto" w:fill="auto"/>
            <w:tcMar>
              <w:top w:w="15" w:type="dxa"/>
              <w:left w:w="15" w:type="dxa"/>
              <w:bottom w:w="0" w:type="dxa"/>
              <w:right w:w="15" w:type="dxa"/>
            </w:tcMar>
            <w:vAlign w:val="center"/>
            <w:hideMark/>
          </w:tcPr>
          <w:p w14:paraId="757FD31F"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Kinship trust</w:t>
            </w:r>
          </w:p>
        </w:tc>
        <w:tc>
          <w:tcPr>
            <w:tcW w:w="443" w:type="pct"/>
            <w:shd w:val="clear" w:color="auto" w:fill="auto"/>
            <w:tcMar>
              <w:top w:w="15" w:type="dxa"/>
              <w:left w:w="15" w:type="dxa"/>
              <w:bottom w:w="0" w:type="dxa"/>
              <w:right w:w="15" w:type="dxa"/>
            </w:tcMar>
            <w:vAlign w:val="center"/>
            <w:hideMark/>
          </w:tcPr>
          <w:p w14:paraId="43D335D6"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Distance to market</w:t>
            </w:r>
          </w:p>
        </w:tc>
        <w:tc>
          <w:tcPr>
            <w:tcW w:w="440" w:type="pct"/>
            <w:shd w:val="clear" w:color="auto" w:fill="auto"/>
            <w:tcMar>
              <w:top w:w="15" w:type="dxa"/>
              <w:left w:w="15" w:type="dxa"/>
              <w:bottom w:w="0" w:type="dxa"/>
              <w:right w:w="15" w:type="dxa"/>
            </w:tcMar>
            <w:vAlign w:val="center"/>
            <w:hideMark/>
          </w:tcPr>
          <w:p w14:paraId="18C52A09"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Education level</w:t>
            </w:r>
          </w:p>
        </w:tc>
        <w:tc>
          <w:tcPr>
            <w:tcW w:w="345" w:type="pct"/>
            <w:shd w:val="clear" w:color="auto" w:fill="auto"/>
            <w:tcMar>
              <w:top w:w="15" w:type="dxa"/>
              <w:left w:w="15" w:type="dxa"/>
              <w:bottom w:w="0" w:type="dxa"/>
              <w:right w:w="15" w:type="dxa"/>
            </w:tcMar>
            <w:vAlign w:val="center"/>
            <w:hideMark/>
          </w:tcPr>
          <w:p w14:paraId="5EEA6632"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Age</w:t>
            </w:r>
          </w:p>
        </w:tc>
      </w:tr>
      <w:tr w:rsidR="00695CAB" w:rsidRPr="0024133B" w14:paraId="712145A2"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2787DB9E"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17</w:t>
            </w:r>
          </w:p>
        </w:tc>
        <w:tc>
          <w:tcPr>
            <w:tcW w:w="726" w:type="pct"/>
            <w:shd w:val="clear" w:color="auto" w:fill="auto"/>
            <w:tcMar>
              <w:top w:w="15" w:type="dxa"/>
              <w:left w:w="15" w:type="dxa"/>
              <w:bottom w:w="0" w:type="dxa"/>
              <w:right w:w="15" w:type="dxa"/>
            </w:tcMar>
            <w:vAlign w:val="center"/>
            <w:hideMark/>
          </w:tcPr>
          <w:p w14:paraId="22010CC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Inner Mongolia (</w:t>
            </w:r>
            <w:proofErr w:type="spellStart"/>
            <w:r w:rsidRPr="0024133B">
              <w:rPr>
                <w:rFonts w:ascii="Times New Roman" w:hAnsi="Times New Roman"/>
                <w:kern w:val="0"/>
                <w:szCs w:val="21"/>
              </w:rPr>
              <w:t>Zhungeerqi</w:t>
            </w:r>
            <w:proofErr w:type="spellEnd"/>
            <w:r w:rsidRPr="0024133B">
              <w:rPr>
                <w:rFonts w:ascii="Times New Roman" w:hAnsi="Times New Roman"/>
                <w:kern w:val="0"/>
                <w:szCs w:val="21"/>
              </w:rPr>
              <w:t xml:space="preserve">)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hIlzaNm4","properties":{"formattedCitation":"[69]","plainCitation":"[69]","noteIndex":0},"citationItems":[{"id":"IuHaWYsY/JCmnoQOa","uris":["http://zotero.org/users/local/nuU8Soog/items/J9897IF9"],"itemData":{"id":160,"type":"article-journal","container-title":"Ecological Economy (in Chinese)","page":"38-41","title":"Research on the response of different types of farmers to Grain for Green: a case study of Zhungeerqi","volume":"11","author":[{"family":"Guo","given":"Huanhuan"},{"family":"Li","given":"Bo"},{"family":"Hao","given":"Lixia"},{"family":"Guo","given":"Weihua"},{"family":"Liu","given":"Hui"},{"family":"Hong","given":"Rui"}],"issued":{"date-parts":[["2011"]]}}}],"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[69]</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1D54C421"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127 householders</w:t>
            </w:r>
          </w:p>
        </w:tc>
        <w:tc>
          <w:tcPr>
            <w:tcW w:w="332" w:type="pct"/>
            <w:shd w:val="clear" w:color="auto" w:fill="auto"/>
            <w:tcMar>
              <w:top w:w="15" w:type="dxa"/>
              <w:left w:w="15" w:type="dxa"/>
              <w:bottom w:w="0" w:type="dxa"/>
              <w:right w:w="15" w:type="dxa"/>
            </w:tcMar>
            <w:vAlign w:val="center"/>
            <w:hideMark/>
          </w:tcPr>
          <w:p w14:paraId="57F4ED8B"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6A49D93E"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2E200102"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1CD3694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2003</w:t>
            </w:r>
          </w:p>
        </w:tc>
        <w:tc>
          <w:tcPr>
            <w:tcW w:w="544" w:type="pct"/>
            <w:shd w:val="clear" w:color="auto" w:fill="auto"/>
            <w:tcMar>
              <w:top w:w="15" w:type="dxa"/>
              <w:left w:w="15" w:type="dxa"/>
              <w:bottom w:w="0" w:type="dxa"/>
              <w:right w:w="15" w:type="dxa"/>
            </w:tcMar>
            <w:vAlign w:val="center"/>
            <w:hideMark/>
          </w:tcPr>
          <w:p w14:paraId="757A30BD"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Age</w:t>
            </w:r>
          </w:p>
        </w:tc>
        <w:tc>
          <w:tcPr>
            <w:tcW w:w="498" w:type="pct"/>
            <w:shd w:val="clear" w:color="auto" w:fill="auto"/>
            <w:tcMar>
              <w:top w:w="15" w:type="dxa"/>
              <w:left w:w="15" w:type="dxa"/>
              <w:bottom w:w="0" w:type="dxa"/>
              <w:right w:w="15" w:type="dxa"/>
            </w:tcMar>
            <w:vAlign w:val="center"/>
            <w:hideMark/>
          </w:tcPr>
          <w:p w14:paraId="6BACB719"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Arable land area</w:t>
            </w:r>
          </w:p>
        </w:tc>
        <w:tc>
          <w:tcPr>
            <w:tcW w:w="443" w:type="pct"/>
            <w:shd w:val="clear" w:color="auto" w:fill="auto"/>
            <w:tcMar>
              <w:top w:w="15" w:type="dxa"/>
              <w:left w:w="15" w:type="dxa"/>
              <w:bottom w:w="0" w:type="dxa"/>
              <w:right w:w="15" w:type="dxa"/>
            </w:tcMar>
            <w:vAlign w:val="center"/>
            <w:hideMark/>
          </w:tcPr>
          <w:p w14:paraId="5BF91E69" w14:textId="77777777" w:rsidR="00695CAB" w:rsidRPr="0024133B" w:rsidRDefault="00695CAB" w:rsidP="0075750D">
            <w:pPr>
              <w:widowControl/>
              <w:spacing w:before="120" w:after="120"/>
              <w:jc w:val="center"/>
              <w:rPr>
                <w:rFonts w:ascii="Times New Roman" w:hAnsi="Times New Roman"/>
                <w:kern w:val="0"/>
                <w:szCs w:val="21"/>
              </w:rPr>
            </w:pPr>
          </w:p>
        </w:tc>
        <w:tc>
          <w:tcPr>
            <w:tcW w:w="440" w:type="pct"/>
            <w:shd w:val="clear" w:color="auto" w:fill="auto"/>
            <w:tcMar>
              <w:top w:w="15" w:type="dxa"/>
              <w:left w:w="15" w:type="dxa"/>
              <w:bottom w:w="0" w:type="dxa"/>
              <w:right w:w="15" w:type="dxa"/>
            </w:tcMar>
            <w:vAlign w:val="center"/>
            <w:hideMark/>
          </w:tcPr>
          <w:p w14:paraId="7F10845F" w14:textId="77777777" w:rsidR="00695CAB" w:rsidRPr="0024133B" w:rsidRDefault="00695CAB" w:rsidP="0075750D">
            <w:pPr>
              <w:widowControl/>
              <w:spacing w:before="120" w:after="120"/>
              <w:jc w:val="center"/>
              <w:rPr>
                <w:rFonts w:ascii="Times New Roman" w:hAnsi="Times New Roman"/>
                <w:kern w:val="0"/>
                <w:szCs w:val="21"/>
              </w:rPr>
            </w:pPr>
          </w:p>
        </w:tc>
        <w:tc>
          <w:tcPr>
            <w:tcW w:w="345" w:type="pct"/>
            <w:shd w:val="clear" w:color="auto" w:fill="auto"/>
            <w:tcMar>
              <w:top w:w="15" w:type="dxa"/>
              <w:left w:w="15" w:type="dxa"/>
              <w:bottom w:w="0" w:type="dxa"/>
              <w:right w:w="15" w:type="dxa"/>
            </w:tcMar>
            <w:vAlign w:val="center"/>
            <w:hideMark/>
          </w:tcPr>
          <w:p w14:paraId="37B335BC"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13CEC02E"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24795DFA"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18</w:t>
            </w:r>
          </w:p>
        </w:tc>
        <w:tc>
          <w:tcPr>
            <w:tcW w:w="726" w:type="pct"/>
            <w:shd w:val="clear" w:color="auto" w:fill="auto"/>
            <w:tcMar>
              <w:top w:w="15" w:type="dxa"/>
              <w:left w:w="15" w:type="dxa"/>
              <w:bottom w:w="0" w:type="dxa"/>
              <w:right w:w="15" w:type="dxa"/>
            </w:tcMar>
            <w:vAlign w:val="center"/>
            <w:hideMark/>
          </w:tcPr>
          <w:p w14:paraId="5F16F8B0"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 xml:space="preserve">Liaoning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FU6mQ8An","properties":{"formattedCitation":"[70]","plainCitation":"[70]","noteIndex":0},"citationItems":[{"id":"IuHaWYsY/4SZRTodA","uris":["http://zotero.org/users/local/nuU8Soog/items/9YPYXQQH"],"itemData":{"id":164,"type":"article-journal","container-title":"Journal of Liaoning Forestry Science &amp; Technology","page":"40-43","title":"Research on the influencing factors of farmers' willingness to participate in GTGP: based on the survey data of Liaoning province","volume":"6","author":[{"family":"Wang","given":"Ling"}],"issued":{"date-parts":[["2018"]]}}}],"schema":"https://github.com/citation-style-language/schema/raw/master/csl-citation.json"}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[70]</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0F4F72F9"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259 householders</w:t>
            </w:r>
          </w:p>
        </w:tc>
        <w:tc>
          <w:tcPr>
            <w:tcW w:w="332" w:type="pct"/>
            <w:shd w:val="clear" w:color="auto" w:fill="auto"/>
            <w:tcMar>
              <w:top w:w="15" w:type="dxa"/>
              <w:left w:w="15" w:type="dxa"/>
              <w:bottom w:w="0" w:type="dxa"/>
              <w:right w:w="15" w:type="dxa"/>
            </w:tcMar>
            <w:vAlign w:val="center"/>
            <w:hideMark/>
          </w:tcPr>
          <w:p w14:paraId="75FA77A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59.5</w:t>
            </w:r>
          </w:p>
        </w:tc>
        <w:tc>
          <w:tcPr>
            <w:tcW w:w="332" w:type="pct"/>
            <w:shd w:val="clear" w:color="auto" w:fill="auto"/>
            <w:tcMar>
              <w:top w:w="15" w:type="dxa"/>
              <w:left w:w="15" w:type="dxa"/>
              <w:bottom w:w="0" w:type="dxa"/>
              <w:right w:w="15" w:type="dxa"/>
            </w:tcMar>
            <w:vAlign w:val="center"/>
            <w:hideMark/>
          </w:tcPr>
          <w:p w14:paraId="24CDEAB0"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0AB11651"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40.5</w:t>
            </w:r>
          </w:p>
        </w:tc>
        <w:tc>
          <w:tcPr>
            <w:tcW w:w="343" w:type="pct"/>
            <w:shd w:val="clear" w:color="auto" w:fill="auto"/>
            <w:tcMar>
              <w:top w:w="15" w:type="dxa"/>
              <w:left w:w="15" w:type="dxa"/>
              <w:bottom w:w="0" w:type="dxa"/>
              <w:right w:w="15" w:type="dxa"/>
            </w:tcMar>
            <w:vAlign w:val="center"/>
            <w:hideMark/>
          </w:tcPr>
          <w:p w14:paraId="46B1D3A1"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2017</w:t>
            </w:r>
          </w:p>
        </w:tc>
        <w:tc>
          <w:tcPr>
            <w:tcW w:w="544" w:type="pct"/>
            <w:shd w:val="clear" w:color="auto" w:fill="auto"/>
            <w:tcMar>
              <w:top w:w="15" w:type="dxa"/>
              <w:left w:w="15" w:type="dxa"/>
              <w:bottom w:w="0" w:type="dxa"/>
              <w:right w:w="15" w:type="dxa"/>
            </w:tcMar>
            <w:vAlign w:val="center"/>
            <w:hideMark/>
          </w:tcPr>
          <w:p w14:paraId="2F1095CA"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Forest management skills</w:t>
            </w:r>
          </w:p>
        </w:tc>
        <w:tc>
          <w:tcPr>
            <w:tcW w:w="498" w:type="pct"/>
            <w:shd w:val="clear" w:color="auto" w:fill="auto"/>
            <w:tcMar>
              <w:top w:w="15" w:type="dxa"/>
              <w:left w:w="15" w:type="dxa"/>
              <w:bottom w:w="0" w:type="dxa"/>
              <w:right w:w="15" w:type="dxa"/>
            </w:tcMar>
            <w:vAlign w:val="center"/>
            <w:hideMark/>
          </w:tcPr>
          <w:p w14:paraId="2A4F391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Financial incentive</w:t>
            </w:r>
          </w:p>
        </w:tc>
        <w:tc>
          <w:tcPr>
            <w:tcW w:w="443" w:type="pct"/>
            <w:shd w:val="clear" w:color="auto" w:fill="auto"/>
            <w:tcMar>
              <w:top w:w="15" w:type="dxa"/>
              <w:left w:w="15" w:type="dxa"/>
              <w:bottom w:w="0" w:type="dxa"/>
              <w:right w:w="15" w:type="dxa"/>
            </w:tcMar>
            <w:vAlign w:val="center"/>
            <w:hideMark/>
          </w:tcPr>
          <w:p w14:paraId="3C4E88AA" w14:textId="77777777" w:rsidR="00695CAB" w:rsidRPr="0024133B" w:rsidRDefault="00695CAB" w:rsidP="0075750D">
            <w:pPr>
              <w:widowControl/>
              <w:spacing w:before="120" w:after="120"/>
              <w:jc w:val="center"/>
              <w:rPr>
                <w:rFonts w:ascii="Times New Roman" w:hAnsi="Times New Roman"/>
                <w:kern w:val="0"/>
                <w:szCs w:val="21"/>
              </w:rPr>
            </w:pPr>
          </w:p>
        </w:tc>
        <w:tc>
          <w:tcPr>
            <w:tcW w:w="440" w:type="pct"/>
            <w:shd w:val="clear" w:color="auto" w:fill="auto"/>
            <w:tcMar>
              <w:top w:w="15" w:type="dxa"/>
              <w:left w:w="15" w:type="dxa"/>
              <w:bottom w:w="0" w:type="dxa"/>
              <w:right w:w="15" w:type="dxa"/>
            </w:tcMar>
            <w:vAlign w:val="center"/>
            <w:hideMark/>
          </w:tcPr>
          <w:p w14:paraId="2BDDC304" w14:textId="77777777" w:rsidR="00695CAB" w:rsidRPr="0024133B" w:rsidRDefault="00695CAB" w:rsidP="0075750D">
            <w:pPr>
              <w:widowControl/>
              <w:spacing w:before="120" w:after="120"/>
              <w:jc w:val="center"/>
              <w:rPr>
                <w:rFonts w:ascii="Times New Roman" w:hAnsi="Times New Roman"/>
                <w:kern w:val="0"/>
                <w:szCs w:val="21"/>
              </w:rPr>
            </w:pPr>
          </w:p>
        </w:tc>
        <w:tc>
          <w:tcPr>
            <w:tcW w:w="345" w:type="pct"/>
            <w:shd w:val="clear" w:color="auto" w:fill="auto"/>
            <w:tcMar>
              <w:top w:w="15" w:type="dxa"/>
              <w:left w:w="15" w:type="dxa"/>
              <w:bottom w:w="0" w:type="dxa"/>
              <w:right w:w="15" w:type="dxa"/>
            </w:tcMar>
            <w:vAlign w:val="center"/>
            <w:hideMark/>
          </w:tcPr>
          <w:p w14:paraId="758F4173"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4D569229" w14:textId="77777777" w:rsidTr="0075750D">
        <w:trPr>
          <w:trHeight w:val="60"/>
          <w:jc w:val="center"/>
        </w:trPr>
        <w:tc>
          <w:tcPr>
            <w:tcW w:w="166" w:type="pct"/>
            <w:shd w:val="clear" w:color="auto" w:fill="auto"/>
            <w:tcMar>
              <w:top w:w="15" w:type="dxa"/>
              <w:left w:w="15" w:type="dxa"/>
              <w:bottom w:w="0" w:type="dxa"/>
              <w:right w:w="15" w:type="dxa"/>
            </w:tcMar>
            <w:vAlign w:val="center"/>
            <w:hideMark/>
          </w:tcPr>
          <w:p w14:paraId="7DAF71A9"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19</w:t>
            </w:r>
          </w:p>
        </w:tc>
        <w:tc>
          <w:tcPr>
            <w:tcW w:w="726" w:type="pct"/>
            <w:shd w:val="clear" w:color="auto" w:fill="auto"/>
            <w:tcMar>
              <w:top w:w="15" w:type="dxa"/>
              <w:left w:w="15" w:type="dxa"/>
              <w:bottom w:w="0" w:type="dxa"/>
              <w:right w:w="15" w:type="dxa"/>
            </w:tcMar>
            <w:vAlign w:val="center"/>
            <w:hideMark/>
          </w:tcPr>
          <w:p w14:paraId="4EA84F23"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 xml:space="preserve">Ningxia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0efSoHOH","properties":{"formattedCitation":"[71]","plainCitation":"[71]","noteIndex":0},"citationItems":[{"id":"IuHaWYsY/iA35MFo1","uris":["http://zotero.org/users/local/nuU8Soog/items/KSMCJQNG"],"itemData":{"id":165,"type":"article-journal","container-title":"Statistical Research","page":"83-91","title":"Study on the participation in decision-making on Sloping Land Conversion Program for peasants","volume":"30","author":[{"family":"Wan","given":"Haiyuan"},{"family":"Li","given":"Chao"}],"issued":{"date-parts":[["2013"]]}}}],"schema":"https://github.com/citation-style-language/schema/raw/master/csl-citation.json"}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[71]</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29F0DD8A"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800 householders</w:t>
            </w:r>
          </w:p>
        </w:tc>
        <w:tc>
          <w:tcPr>
            <w:tcW w:w="332" w:type="pct"/>
            <w:shd w:val="clear" w:color="auto" w:fill="auto"/>
            <w:tcMar>
              <w:top w:w="15" w:type="dxa"/>
              <w:left w:w="15" w:type="dxa"/>
              <w:bottom w:w="0" w:type="dxa"/>
              <w:right w:w="15" w:type="dxa"/>
            </w:tcMar>
            <w:vAlign w:val="center"/>
            <w:hideMark/>
          </w:tcPr>
          <w:p w14:paraId="186FB939"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11217B21"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4C7D5609"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7F5A882F"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2009</w:t>
            </w:r>
          </w:p>
        </w:tc>
        <w:tc>
          <w:tcPr>
            <w:tcW w:w="544" w:type="pct"/>
            <w:shd w:val="clear" w:color="auto" w:fill="auto"/>
            <w:tcMar>
              <w:top w:w="15" w:type="dxa"/>
              <w:left w:w="15" w:type="dxa"/>
              <w:bottom w:w="0" w:type="dxa"/>
              <w:right w:w="15" w:type="dxa"/>
            </w:tcMar>
            <w:vAlign w:val="center"/>
            <w:hideMark/>
          </w:tcPr>
          <w:p w14:paraId="4F276903"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Household size</w:t>
            </w:r>
          </w:p>
        </w:tc>
        <w:tc>
          <w:tcPr>
            <w:tcW w:w="498" w:type="pct"/>
            <w:shd w:val="clear" w:color="auto" w:fill="auto"/>
            <w:tcMar>
              <w:top w:w="15" w:type="dxa"/>
              <w:left w:w="15" w:type="dxa"/>
              <w:bottom w:w="0" w:type="dxa"/>
              <w:right w:w="15" w:type="dxa"/>
            </w:tcMar>
            <w:vAlign w:val="center"/>
            <w:hideMark/>
          </w:tcPr>
          <w:p w14:paraId="35F46E5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Education level</w:t>
            </w:r>
          </w:p>
        </w:tc>
        <w:tc>
          <w:tcPr>
            <w:tcW w:w="443" w:type="pct"/>
            <w:shd w:val="clear" w:color="auto" w:fill="auto"/>
            <w:tcMar>
              <w:top w:w="15" w:type="dxa"/>
              <w:left w:w="15" w:type="dxa"/>
              <w:bottom w:w="0" w:type="dxa"/>
              <w:right w:w="15" w:type="dxa"/>
            </w:tcMar>
            <w:vAlign w:val="center"/>
            <w:hideMark/>
          </w:tcPr>
          <w:p w14:paraId="7D398F56"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Opportunity cost</w:t>
            </w:r>
            <w:r w:rsidRPr="0024133B">
              <w:rPr>
                <w:rFonts w:ascii="Times New Roman" w:hAnsi="Times New Roman" w:hint="eastAsia"/>
                <w:kern w:val="0"/>
                <w:szCs w:val="21"/>
              </w:rPr>
              <w:t>s</w:t>
            </w:r>
            <w:r w:rsidRPr="0024133B">
              <w:rPr>
                <w:rFonts w:ascii="Times New Roman" w:hAnsi="Times New Roman"/>
                <w:kern w:val="0"/>
                <w:szCs w:val="21"/>
              </w:rPr>
              <w:t xml:space="preserve"> for land</w:t>
            </w:r>
          </w:p>
        </w:tc>
        <w:tc>
          <w:tcPr>
            <w:tcW w:w="440" w:type="pct"/>
            <w:shd w:val="clear" w:color="auto" w:fill="auto"/>
            <w:tcMar>
              <w:top w:w="15" w:type="dxa"/>
              <w:left w:w="15" w:type="dxa"/>
              <w:bottom w:w="0" w:type="dxa"/>
              <w:right w:w="15" w:type="dxa"/>
            </w:tcMar>
            <w:vAlign w:val="center"/>
            <w:hideMark/>
          </w:tcPr>
          <w:p w14:paraId="243CDBFE"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Slope</w:t>
            </w:r>
          </w:p>
        </w:tc>
        <w:tc>
          <w:tcPr>
            <w:tcW w:w="345" w:type="pct"/>
            <w:shd w:val="clear" w:color="auto" w:fill="auto"/>
            <w:tcMar>
              <w:top w:w="15" w:type="dxa"/>
              <w:left w:w="15" w:type="dxa"/>
              <w:bottom w:w="0" w:type="dxa"/>
              <w:right w:w="15" w:type="dxa"/>
            </w:tcMar>
            <w:vAlign w:val="center"/>
            <w:hideMark/>
          </w:tcPr>
          <w:p w14:paraId="4DD05B97"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06142A71" w14:textId="77777777" w:rsidTr="0075750D">
        <w:trPr>
          <w:trHeight w:val="112"/>
          <w:jc w:val="center"/>
        </w:trPr>
        <w:tc>
          <w:tcPr>
            <w:tcW w:w="166" w:type="pct"/>
            <w:shd w:val="clear" w:color="auto" w:fill="auto"/>
            <w:tcMar>
              <w:top w:w="15" w:type="dxa"/>
              <w:left w:w="15" w:type="dxa"/>
              <w:bottom w:w="0" w:type="dxa"/>
              <w:right w:w="15" w:type="dxa"/>
            </w:tcMar>
            <w:vAlign w:val="center"/>
            <w:hideMark/>
          </w:tcPr>
          <w:p w14:paraId="0D3214BA"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w:t>
            </w:r>
          </w:p>
        </w:tc>
        <w:tc>
          <w:tcPr>
            <w:tcW w:w="726" w:type="pct"/>
            <w:shd w:val="clear" w:color="auto" w:fill="auto"/>
            <w:tcMar>
              <w:top w:w="15" w:type="dxa"/>
              <w:left w:w="15" w:type="dxa"/>
              <w:bottom w:w="0" w:type="dxa"/>
              <w:right w:w="15" w:type="dxa"/>
            </w:tcMar>
            <w:vAlign w:val="center"/>
            <w:hideMark/>
          </w:tcPr>
          <w:p w14:paraId="5551D147"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 xml:space="preserve">Yunnan, Gansu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JZknIhir","properties":{"formattedCitation":"[72]","plainCitation":"[72]","noteIndex":0},"citationItems":[{"id":"IuHaWYsY/BzdHZrBU","uris":["http://zotero.org/users/local/nuU8Soog/items/KSMYR4NJ"],"itemData":{"id":166,"type":"article-journal","container-title":"Forestry Economics (in Chinese)","page":"64-68","title":"Farmers' participation willingness of the Grain for Green Project analysis based on fuzzy cluster-Taking Yunnan and Gansu province as examples","volume":"6","author":[{"family":"Chen","given":"Zhongtai"},{"family":"Ma","given":"Ning"},{"family":"Qi","given":"Yue"}],"issued":{"date-parts":[["2014"]]}}}],"schema":"https://github.com/citation-style-language/schema/raw/master/csl-citation.json"}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[72]</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3ED662FD"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329 householders</w:t>
            </w:r>
          </w:p>
        </w:tc>
        <w:tc>
          <w:tcPr>
            <w:tcW w:w="332" w:type="pct"/>
            <w:shd w:val="clear" w:color="auto" w:fill="auto"/>
            <w:tcMar>
              <w:top w:w="15" w:type="dxa"/>
              <w:left w:w="15" w:type="dxa"/>
              <w:bottom w:w="0" w:type="dxa"/>
              <w:right w:w="15" w:type="dxa"/>
            </w:tcMar>
            <w:vAlign w:val="center"/>
            <w:hideMark/>
          </w:tcPr>
          <w:p w14:paraId="41A067B7"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41B7AF39"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3EC9EC15"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6372BB51" w14:textId="77777777" w:rsidR="00695CAB" w:rsidRPr="0024133B" w:rsidRDefault="00695CAB" w:rsidP="0075750D">
            <w:pPr>
              <w:widowControl/>
              <w:spacing w:before="120" w:after="120"/>
              <w:jc w:val="center"/>
              <w:rPr>
                <w:rFonts w:ascii="Times New Roman" w:hAnsi="Times New Roman"/>
                <w:kern w:val="0"/>
                <w:szCs w:val="21"/>
              </w:rPr>
            </w:pPr>
          </w:p>
        </w:tc>
        <w:tc>
          <w:tcPr>
            <w:tcW w:w="544" w:type="pct"/>
            <w:shd w:val="clear" w:color="auto" w:fill="auto"/>
            <w:tcMar>
              <w:top w:w="15" w:type="dxa"/>
              <w:left w:w="15" w:type="dxa"/>
              <w:bottom w:w="0" w:type="dxa"/>
              <w:right w:w="15" w:type="dxa"/>
            </w:tcMar>
            <w:vAlign w:val="center"/>
            <w:hideMark/>
          </w:tcPr>
          <w:p w14:paraId="4388FC86"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Age</w:t>
            </w:r>
          </w:p>
        </w:tc>
        <w:tc>
          <w:tcPr>
            <w:tcW w:w="498" w:type="pct"/>
            <w:shd w:val="clear" w:color="auto" w:fill="auto"/>
            <w:tcMar>
              <w:top w:w="15" w:type="dxa"/>
              <w:left w:w="15" w:type="dxa"/>
              <w:bottom w:w="0" w:type="dxa"/>
              <w:right w:w="15" w:type="dxa"/>
            </w:tcMar>
            <w:vAlign w:val="center"/>
            <w:hideMark/>
          </w:tcPr>
          <w:p w14:paraId="794C824F"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Education level</w:t>
            </w:r>
          </w:p>
        </w:tc>
        <w:tc>
          <w:tcPr>
            <w:tcW w:w="443" w:type="pct"/>
            <w:shd w:val="clear" w:color="auto" w:fill="auto"/>
            <w:tcMar>
              <w:top w:w="15" w:type="dxa"/>
              <w:left w:w="15" w:type="dxa"/>
              <w:bottom w:w="0" w:type="dxa"/>
              <w:right w:w="15" w:type="dxa"/>
            </w:tcMar>
            <w:vAlign w:val="center"/>
            <w:hideMark/>
          </w:tcPr>
          <w:p w14:paraId="0730048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Arable land area</w:t>
            </w:r>
          </w:p>
        </w:tc>
        <w:tc>
          <w:tcPr>
            <w:tcW w:w="440" w:type="pct"/>
            <w:shd w:val="clear" w:color="auto" w:fill="auto"/>
            <w:tcMar>
              <w:top w:w="15" w:type="dxa"/>
              <w:left w:w="15" w:type="dxa"/>
              <w:bottom w:w="0" w:type="dxa"/>
              <w:right w:w="15" w:type="dxa"/>
            </w:tcMar>
            <w:vAlign w:val="center"/>
            <w:hideMark/>
          </w:tcPr>
          <w:p w14:paraId="582AF514" w14:textId="77777777" w:rsidR="00695CAB" w:rsidRPr="0024133B" w:rsidRDefault="00695CAB" w:rsidP="0075750D">
            <w:pPr>
              <w:widowControl/>
              <w:spacing w:before="120" w:after="120"/>
              <w:jc w:val="center"/>
              <w:rPr>
                <w:rFonts w:ascii="Times New Roman" w:hAnsi="Times New Roman"/>
                <w:kern w:val="0"/>
                <w:szCs w:val="21"/>
              </w:rPr>
            </w:pPr>
          </w:p>
        </w:tc>
        <w:tc>
          <w:tcPr>
            <w:tcW w:w="345" w:type="pct"/>
            <w:shd w:val="clear" w:color="auto" w:fill="auto"/>
            <w:tcMar>
              <w:top w:w="15" w:type="dxa"/>
              <w:left w:w="15" w:type="dxa"/>
              <w:bottom w:w="0" w:type="dxa"/>
              <w:right w:w="15" w:type="dxa"/>
            </w:tcMar>
            <w:vAlign w:val="center"/>
            <w:hideMark/>
          </w:tcPr>
          <w:p w14:paraId="0308DD08"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77FCFC44" w14:textId="77777777" w:rsidTr="0075750D">
        <w:trPr>
          <w:trHeight w:val="176"/>
          <w:jc w:val="center"/>
        </w:trPr>
        <w:tc>
          <w:tcPr>
            <w:tcW w:w="166" w:type="pct"/>
            <w:shd w:val="clear" w:color="auto" w:fill="auto"/>
            <w:tcMar>
              <w:top w:w="15" w:type="dxa"/>
              <w:left w:w="15" w:type="dxa"/>
              <w:bottom w:w="0" w:type="dxa"/>
              <w:right w:w="15" w:type="dxa"/>
            </w:tcMar>
            <w:vAlign w:val="center"/>
            <w:hideMark/>
          </w:tcPr>
          <w:p w14:paraId="4EACDCD0"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21</w:t>
            </w:r>
          </w:p>
        </w:tc>
        <w:tc>
          <w:tcPr>
            <w:tcW w:w="726" w:type="pct"/>
            <w:shd w:val="clear" w:color="auto" w:fill="auto"/>
            <w:tcMar>
              <w:top w:w="15" w:type="dxa"/>
              <w:left w:w="15" w:type="dxa"/>
              <w:bottom w:w="0" w:type="dxa"/>
              <w:right w:w="15" w:type="dxa"/>
            </w:tcMar>
            <w:vAlign w:val="center"/>
            <w:hideMark/>
          </w:tcPr>
          <w:p w14:paraId="589FE507"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 xml:space="preserve">24 provinces across China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BCTgVQKN","properties":{"formattedCitation":"[73]","plainCitation":"[73]","noteIndex":0},"citationItems":[{"id":"IuHaWYsY/6qOzGVr0","uris":["http://zotero.org/users/local/nuU8Soog/items/8KKRZIHS"],"itemData":{"id":167,"type":"article-journal","container-title":"Forestry Economics (in Chinese)","page":"9-15","title":"Government supervision and farm household decision-making: analysis of the consolidation of results of Grain for Green Projects-based on the survey of 2120 households from 24 provinces","volume":"3","author":[{"family":"Xie","given":"Chen"},{"family":"Huang","given":"Dong"},{"family":"Yu","given":"Hui"},{"family":"Yuan","given":"Mei"},{"family":"Peng","given":"Wei"},{"family":"Peng","given":"Daoli"},{"family":"Wu","given":"Tao"}],"issued":{"date-parts":[["2014"]]}}}],"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[73]</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0922276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2120 householders</w:t>
            </w:r>
          </w:p>
        </w:tc>
        <w:tc>
          <w:tcPr>
            <w:tcW w:w="332" w:type="pct"/>
            <w:shd w:val="clear" w:color="auto" w:fill="auto"/>
            <w:tcMar>
              <w:top w:w="15" w:type="dxa"/>
              <w:left w:w="15" w:type="dxa"/>
              <w:bottom w:w="0" w:type="dxa"/>
              <w:right w:w="15" w:type="dxa"/>
            </w:tcMar>
            <w:vAlign w:val="center"/>
            <w:hideMark/>
          </w:tcPr>
          <w:p w14:paraId="7E4F0098"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19.06</w:t>
            </w:r>
          </w:p>
        </w:tc>
        <w:tc>
          <w:tcPr>
            <w:tcW w:w="332" w:type="pct"/>
            <w:shd w:val="clear" w:color="auto" w:fill="auto"/>
            <w:tcMar>
              <w:top w:w="15" w:type="dxa"/>
              <w:left w:w="15" w:type="dxa"/>
              <w:bottom w:w="0" w:type="dxa"/>
              <w:right w:w="15" w:type="dxa"/>
            </w:tcMar>
            <w:vAlign w:val="center"/>
            <w:hideMark/>
          </w:tcPr>
          <w:p w14:paraId="37D6C76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19.01</w:t>
            </w:r>
          </w:p>
        </w:tc>
        <w:tc>
          <w:tcPr>
            <w:tcW w:w="332" w:type="pct"/>
            <w:shd w:val="clear" w:color="auto" w:fill="auto"/>
            <w:tcMar>
              <w:top w:w="15" w:type="dxa"/>
              <w:left w:w="15" w:type="dxa"/>
              <w:bottom w:w="0" w:type="dxa"/>
              <w:right w:w="15" w:type="dxa"/>
            </w:tcMar>
            <w:vAlign w:val="center"/>
            <w:hideMark/>
          </w:tcPr>
          <w:p w14:paraId="45AD4BF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60.93</w:t>
            </w:r>
          </w:p>
        </w:tc>
        <w:tc>
          <w:tcPr>
            <w:tcW w:w="343" w:type="pct"/>
            <w:shd w:val="clear" w:color="auto" w:fill="auto"/>
            <w:tcMar>
              <w:top w:w="15" w:type="dxa"/>
              <w:left w:w="15" w:type="dxa"/>
              <w:bottom w:w="0" w:type="dxa"/>
              <w:right w:w="15" w:type="dxa"/>
            </w:tcMar>
            <w:vAlign w:val="center"/>
            <w:hideMark/>
          </w:tcPr>
          <w:p w14:paraId="2448BC8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2010</w:t>
            </w:r>
          </w:p>
        </w:tc>
        <w:tc>
          <w:tcPr>
            <w:tcW w:w="544" w:type="pct"/>
            <w:shd w:val="clear" w:color="auto" w:fill="auto"/>
            <w:tcMar>
              <w:top w:w="15" w:type="dxa"/>
              <w:left w:w="15" w:type="dxa"/>
              <w:bottom w:w="0" w:type="dxa"/>
              <w:right w:w="15" w:type="dxa"/>
            </w:tcMar>
            <w:vAlign w:val="center"/>
            <w:hideMark/>
          </w:tcPr>
          <w:p w14:paraId="1575EA9A"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Income</w:t>
            </w:r>
          </w:p>
        </w:tc>
        <w:tc>
          <w:tcPr>
            <w:tcW w:w="498" w:type="pct"/>
            <w:shd w:val="clear" w:color="auto" w:fill="auto"/>
            <w:tcMar>
              <w:top w:w="15" w:type="dxa"/>
              <w:left w:w="15" w:type="dxa"/>
              <w:bottom w:w="0" w:type="dxa"/>
              <w:right w:w="15" w:type="dxa"/>
            </w:tcMar>
            <w:vAlign w:val="center"/>
            <w:hideMark/>
          </w:tcPr>
          <w:p w14:paraId="67B5E212"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Effective monitoring</w:t>
            </w:r>
          </w:p>
        </w:tc>
        <w:tc>
          <w:tcPr>
            <w:tcW w:w="443" w:type="pct"/>
            <w:shd w:val="clear" w:color="auto" w:fill="auto"/>
            <w:tcMar>
              <w:top w:w="15" w:type="dxa"/>
              <w:left w:w="15" w:type="dxa"/>
              <w:bottom w:w="0" w:type="dxa"/>
              <w:right w:w="15" w:type="dxa"/>
            </w:tcMar>
            <w:vAlign w:val="center"/>
            <w:hideMark/>
          </w:tcPr>
          <w:p w14:paraId="47AEBB5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Financial incentive</w:t>
            </w:r>
          </w:p>
        </w:tc>
        <w:tc>
          <w:tcPr>
            <w:tcW w:w="440" w:type="pct"/>
            <w:shd w:val="clear" w:color="auto" w:fill="auto"/>
            <w:tcMar>
              <w:top w:w="15" w:type="dxa"/>
              <w:left w:w="15" w:type="dxa"/>
              <w:bottom w:w="0" w:type="dxa"/>
              <w:right w:w="15" w:type="dxa"/>
            </w:tcMar>
            <w:vAlign w:val="center"/>
            <w:hideMark/>
          </w:tcPr>
          <w:p w14:paraId="155684B4"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Opportunity cost</w:t>
            </w:r>
            <w:r w:rsidRPr="0024133B">
              <w:rPr>
                <w:rFonts w:ascii="Times New Roman" w:hAnsi="Times New Roman" w:hint="eastAsia"/>
                <w:kern w:val="0"/>
                <w:szCs w:val="21"/>
              </w:rPr>
              <w:t>s</w:t>
            </w:r>
            <w:r w:rsidRPr="0024133B">
              <w:rPr>
                <w:rFonts w:ascii="Times New Roman" w:hAnsi="Times New Roman"/>
                <w:kern w:val="0"/>
                <w:szCs w:val="21"/>
              </w:rPr>
              <w:t xml:space="preserve"> for land</w:t>
            </w:r>
          </w:p>
        </w:tc>
        <w:tc>
          <w:tcPr>
            <w:tcW w:w="345" w:type="pct"/>
            <w:shd w:val="clear" w:color="auto" w:fill="auto"/>
            <w:tcMar>
              <w:top w:w="15" w:type="dxa"/>
              <w:left w:w="15" w:type="dxa"/>
              <w:bottom w:w="0" w:type="dxa"/>
              <w:right w:w="15" w:type="dxa"/>
            </w:tcMar>
            <w:vAlign w:val="center"/>
            <w:hideMark/>
          </w:tcPr>
          <w:p w14:paraId="332D9D6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Slope</w:t>
            </w:r>
          </w:p>
        </w:tc>
      </w:tr>
      <w:tr w:rsidR="00695CAB" w:rsidRPr="0024133B" w14:paraId="27C1FE1A" w14:textId="77777777" w:rsidTr="0075750D">
        <w:trPr>
          <w:trHeight w:val="226"/>
          <w:jc w:val="center"/>
        </w:trPr>
        <w:tc>
          <w:tcPr>
            <w:tcW w:w="166" w:type="pct"/>
            <w:shd w:val="clear" w:color="auto" w:fill="auto"/>
            <w:tcMar>
              <w:top w:w="15" w:type="dxa"/>
              <w:left w:w="15" w:type="dxa"/>
              <w:bottom w:w="0" w:type="dxa"/>
              <w:right w:w="15" w:type="dxa"/>
            </w:tcMar>
            <w:vAlign w:val="center"/>
            <w:hideMark/>
          </w:tcPr>
          <w:p w14:paraId="3F66BA3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lastRenderedPageBreak/>
              <w:t>22</w:t>
            </w:r>
          </w:p>
        </w:tc>
        <w:tc>
          <w:tcPr>
            <w:tcW w:w="726" w:type="pct"/>
            <w:shd w:val="clear" w:color="auto" w:fill="auto"/>
            <w:tcMar>
              <w:top w:w="15" w:type="dxa"/>
              <w:left w:w="15" w:type="dxa"/>
              <w:bottom w:w="0" w:type="dxa"/>
              <w:right w:w="15" w:type="dxa"/>
            </w:tcMar>
            <w:vAlign w:val="center"/>
            <w:hideMark/>
          </w:tcPr>
          <w:p w14:paraId="630266AF"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 xml:space="preserve">Sichuan (Wenchuan, Li, Mao, </w:t>
            </w:r>
            <w:proofErr w:type="spellStart"/>
            <w:r w:rsidRPr="0024133B">
              <w:rPr>
                <w:rFonts w:ascii="Times New Roman" w:hAnsi="Times New Roman"/>
                <w:kern w:val="0"/>
                <w:szCs w:val="21"/>
              </w:rPr>
              <w:t>Songpan</w:t>
            </w:r>
            <w:proofErr w:type="spellEnd"/>
            <w:r w:rsidRPr="0024133B">
              <w:rPr>
                <w:rFonts w:ascii="Times New Roman" w:hAnsi="Times New Roman"/>
                <w:kern w:val="0"/>
                <w:szCs w:val="21"/>
              </w:rPr>
              <w:t xml:space="preserve">, </w:t>
            </w:r>
            <w:proofErr w:type="spellStart"/>
            <w:r w:rsidRPr="0024133B">
              <w:rPr>
                <w:rFonts w:ascii="Times New Roman" w:hAnsi="Times New Roman"/>
                <w:kern w:val="0"/>
                <w:szCs w:val="21"/>
              </w:rPr>
              <w:t>Heishui</w:t>
            </w:r>
            <w:proofErr w:type="spellEnd"/>
            <w:r w:rsidRPr="0024133B">
              <w:rPr>
                <w:rFonts w:ascii="Times New Roman" w:hAnsi="Times New Roman"/>
                <w:kern w:val="0"/>
                <w:szCs w:val="21"/>
              </w:rPr>
              <w:t xml:space="preserve">)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{"citationID":"oZYRTxFK","properties":{"formattedCitation":"[74]","plainCitation":"[74]","noteIndex":0},"citationItems":[{"id":"IuHaWYsY/cxclNc19","uris":["http://zotero.org/users/local/nuU8Soog/items/4FLDSZ6N"],"itemData":{"id":168,"type":"article-journal","abstract":"One secondary target of the SLCP is poverty reduction. Therefore, the impact of the SLCP on household income is a subject of much research. This study was conducted to determine whether the SLCP has affected incomes of households at different income levels13 years after its implementation. Using survey data from 2012 on rural households' livelihoods in the upper reaches of the Minjiang River in Sichuan Province and using the non-participating households as a reference, the current impact of the SLCP on household income is calculated with a multiple linear regression model and a quantile regression model. The socio-geographic features of participating and non-participating households are also be compared. The results show no significant differences between the SLCP participating and non-participating households in many socio-demographic characteristics. Participating in the SLCP had no significant impact on household income at all income levels in the study area in 2012. This finding suggests that the SLCP is not currently increasing household income significantly in the study area, and that the implementation plan of the SLCP should be changed in this area in order to achieve its poverty reduction goal.","container-title":"Journal of Resources and Ecology","DOI":"10.5814/j.issn.1674-764x.2018.05.009","ISSN":"1674-764X","issue":"5","journalAbbreviation":"jore","note":"publisher: Institute of Geographic Sciences and Natural Resources Research, Chinese Academy of Sciences","page":"516-525","source":"bioone.org","title":"Assessing the Impact of the Sloping Land Conversion Program on Rural Household Income in the Upper Reaches of Minjiang River, China","volume":"9","author":[{"family":"Huang","given":"Jiali"},{"family":"Zhao","given":"Hui"},{"family":"Liu","given":"Yunwei"},{"family":"Yang","given":"Jianying"}],"issued":{"date-parts":[["2018",9]]}}}],"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[74]</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6E2A22D6"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333 householders</w:t>
            </w:r>
          </w:p>
        </w:tc>
        <w:tc>
          <w:tcPr>
            <w:tcW w:w="332" w:type="pct"/>
            <w:shd w:val="clear" w:color="auto" w:fill="auto"/>
            <w:tcMar>
              <w:top w:w="15" w:type="dxa"/>
              <w:left w:w="15" w:type="dxa"/>
              <w:bottom w:w="0" w:type="dxa"/>
              <w:right w:w="15" w:type="dxa"/>
            </w:tcMar>
            <w:vAlign w:val="center"/>
            <w:hideMark/>
          </w:tcPr>
          <w:p w14:paraId="61874EB9"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1EE3E71A"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28258665"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42A1A223"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2012</w:t>
            </w:r>
          </w:p>
        </w:tc>
        <w:tc>
          <w:tcPr>
            <w:tcW w:w="544" w:type="pct"/>
            <w:shd w:val="clear" w:color="auto" w:fill="auto"/>
            <w:tcMar>
              <w:top w:w="15" w:type="dxa"/>
              <w:left w:w="15" w:type="dxa"/>
              <w:bottom w:w="0" w:type="dxa"/>
              <w:right w:w="15" w:type="dxa"/>
            </w:tcMar>
            <w:vAlign w:val="center"/>
            <w:hideMark/>
          </w:tcPr>
          <w:p w14:paraId="4DD60390"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Opportunity cost</w:t>
            </w:r>
            <w:r w:rsidRPr="0024133B">
              <w:rPr>
                <w:rFonts w:ascii="Times New Roman" w:hAnsi="Times New Roman" w:hint="eastAsia"/>
                <w:kern w:val="0"/>
                <w:szCs w:val="21"/>
              </w:rPr>
              <w:t>s</w:t>
            </w:r>
            <w:r w:rsidRPr="0024133B">
              <w:rPr>
                <w:rFonts w:ascii="Times New Roman" w:hAnsi="Times New Roman"/>
                <w:kern w:val="0"/>
                <w:szCs w:val="21"/>
              </w:rPr>
              <w:t xml:space="preserve"> for land</w:t>
            </w:r>
          </w:p>
        </w:tc>
        <w:tc>
          <w:tcPr>
            <w:tcW w:w="498" w:type="pct"/>
            <w:shd w:val="clear" w:color="auto" w:fill="auto"/>
            <w:tcMar>
              <w:top w:w="15" w:type="dxa"/>
              <w:left w:w="15" w:type="dxa"/>
              <w:bottom w:w="0" w:type="dxa"/>
              <w:right w:w="15" w:type="dxa"/>
            </w:tcMar>
            <w:vAlign w:val="center"/>
            <w:hideMark/>
          </w:tcPr>
          <w:p w14:paraId="265385E7"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Slope</w:t>
            </w:r>
          </w:p>
        </w:tc>
        <w:tc>
          <w:tcPr>
            <w:tcW w:w="443" w:type="pct"/>
            <w:shd w:val="clear" w:color="auto" w:fill="auto"/>
            <w:tcMar>
              <w:top w:w="15" w:type="dxa"/>
              <w:left w:w="15" w:type="dxa"/>
              <w:bottom w:w="0" w:type="dxa"/>
              <w:right w:w="15" w:type="dxa"/>
            </w:tcMar>
            <w:vAlign w:val="center"/>
            <w:hideMark/>
          </w:tcPr>
          <w:p w14:paraId="6D44B98B" w14:textId="77777777" w:rsidR="00695CAB" w:rsidRPr="0024133B" w:rsidRDefault="00695CAB" w:rsidP="0075750D">
            <w:pPr>
              <w:widowControl/>
              <w:spacing w:before="120" w:after="120"/>
              <w:jc w:val="center"/>
              <w:rPr>
                <w:rFonts w:ascii="Times New Roman" w:hAnsi="Times New Roman"/>
                <w:kern w:val="0"/>
                <w:szCs w:val="21"/>
              </w:rPr>
            </w:pPr>
          </w:p>
        </w:tc>
        <w:tc>
          <w:tcPr>
            <w:tcW w:w="440" w:type="pct"/>
            <w:shd w:val="clear" w:color="auto" w:fill="auto"/>
            <w:tcMar>
              <w:top w:w="15" w:type="dxa"/>
              <w:left w:w="15" w:type="dxa"/>
              <w:bottom w:w="0" w:type="dxa"/>
              <w:right w:w="15" w:type="dxa"/>
            </w:tcMar>
            <w:vAlign w:val="center"/>
            <w:hideMark/>
          </w:tcPr>
          <w:p w14:paraId="008F0668" w14:textId="77777777" w:rsidR="00695CAB" w:rsidRPr="0024133B" w:rsidRDefault="00695CAB" w:rsidP="0075750D">
            <w:pPr>
              <w:widowControl/>
              <w:spacing w:before="120" w:after="120"/>
              <w:jc w:val="center"/>
              <w:rPr>
                <w:rFonts w:ascii="Times New Roman" w:hAnsi="Times New Roman"/>
                <w:kern w:val="0"/>
                <w:szCs w:val="21"/>
              </w:rPr>
            </w:pPr>
          </w:p>
        </w:tc>
        <w:tc>
          <w:tcPr>
            <w:tcW w:w="345" w:type="pct"/>
            <w:shd w:val="clear" w:color="auto" w:fill="auto"/>
            <w:tcMar>
              <w:top w:w="15" w:type="dxa"/>
              <w:left w:w="15" w:type="dxa"/>
              <w:bottom w:w="0" w:type="dxa"/>
              <w:right w:w="15" w:type="dxa"/>
            </w:tcMar>
            <w:vAlign w:val="center"/>
            <w:hideMark/>
          </w:tcPr>
          <w:p w14:paraId="09F56F78"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40DD66A9"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583DF091"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23</w:t>
            </w:r>
          </w:p>
        </w:tc>
        <w:tc>
          <w:tcPr>
            <w:tcW w:w="726" w:type="pct"/>
            <w:shd w:val="clear" w:color="auto" w:fill="auto"/>
            <w:tcMar>
              <w:top w:w="15" w:type="dxa"/>
              <w:left w:w="15" w:type="dxa"/>
              <w:bottom w:w="0" w:type="dxa"/>
              <w:right w:w="15" w:type="dxa"/>
            </w:tcMar>
            <w:vAlign w:val="center"/>
            <w:hideMark/>
          </w:tcPr>
          <w:p w14:paraId="5B42C6F3"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Inner Mongolia (</w:t>
            </w:r>
            <w:proofErr w:type="spellStart"/>
            <w:r w:rsidRPr="0024133B">
              <w:rPr>
                <w:rFonts w:ascii="Times New Roman" w:hAnsi="Times New Roman"/>
                <w:kern w:val="0"/>
                <w:szCs w:val="21"/>
              </w:rPr>
              <w:t>Zhuozi</w:t>
            </w:r>
            <w:proofErr w:type="spellEnd"/>
            <w:r w:rsidRPr="0024133B">
              <w:rPr>
                <w:rFonts w:ascii="Times New Roman" w:hAnsi="Times New Roman"/>
                <w:kern w:val="0"/>
                <w:szCs w:val="21"/>
              </w:rPr>
              <w:t xml:space="preserve">)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{"citationID":"GbRXIdXi","properties":{"formattedCitation":"[75]","plainCitation":"[75]","noteIndex":0},"citationItems":[{"id":"IuHaWYsY/RkXAhjIo","uris":["http://zotero.org/users/local/nuU8Soog/items/PLVKIKY8"],"itemData":{"id":170,"type":"article-journal","abstract":"Using survey data from Inner Mongolia, this paper explores the role of stakeholder engagement in the implementation of the Sloping Land Conversion Programme, a payments for environmental services (PES) programme designed to restore forest in degraded land. Based on the idea that volunteerism and satisfaction with the programme's outcome are two important components of the programme's viability, we successively analyse the intensity of households' participation in the programme and their reported satisfaction with its economic achievement, which we relate to their stated volunteerism. We show that households' participation intensity in the SLCP is primarily driven by land and location characteristics, and that these findings hold true whether or not the households voluntarily enrolled in the programme. Moreover, as far as participants' satisfaction can be interpreted as an indicator of potential long-term support for the programme, our findings also support plausible sustainability for the programme.","container-title":"Ecological Economics","DOI":"10.1016/j.ecolecon.2015.04.012","ISSN":"0921-8009","journalAbbreviation":"Ecological Economics","language":"en","page":"25-33","source":"ScienceDirect","title":"Volunteer and satisfied? Rural households' participation in a payments for environmental services programme in Inner Mongolia","title-short":"Volunteer and satisfied?","volume":"116","author":[{"family":"Démurger","given":"Sylvie"},{"family":"Pelletier","given":"Adeline"}],"issued":{"date-parts":[["2015",8,1]]}}}],"schema":"https://github.com/citation-style-language/schema/raw/master/csl-citation.json"}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[75]</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2BD73963"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481 householders</w:t>
            </w:r>
          </w:p>
        </w:tc>
        <w:tc>
          <w:tcPr>
            <w:tcW w:w="332" w:type="pct"/>
            <w:shd w:val="clear" w:color="auto" w:fill="auto"/>
            <w:tcMar>
              <w:top w:w="15" w:type="dxa"/>
              <w:left w:w="15" w:type="dxa"/>
              <w:bottom w:w="0" w:type="dxa"/>
              <w:right w:w="15" w:type="dxa"/>
            </w:tcMar>
            <w:vAlign w:val="center"/>
            <w:hideMark/>
          </w:tcPr>
          <w:p w14:paraId="7AC14E06"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w:t>
            </w:r>
          </w:p>
        </w:tc>
        <w:tc>
          <w:tcPr>
            <w:tcW w:w="332" w:type="pct"/>
            <w:shd w:val="clear" w:color="auto" w:fill="auto"/>
            <w:tcMar>
              <w:top w:w="15" w:type="dxa"/>
              <w:left w:w="15" w:type="dxa"/>
              <w:bottom w:w="0" w:type="dxa"/>
              <w:right w:w="15" w:type="dxa"/>
            </w:tcMar>
            <w:vAlign w:val="center"/>
            <w:hideMark/>
          </w:tcPr>
          <w:p w14:paraId="64DB2BD2"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27</w:t>
            </w:r>
          </w:p>
        </w:tc>
        <w:tc>
          <w:tcPr>
            <w:tcW w:w="332" w:type="pct"/>
            <w:shd w:val="clear" w:color="auto" w:fill="auto"/>
            <w:tcMar>
              <w:top w:w="15" w:type="dxa"/>
              <w:left w:w="15" w:type="dxa"/>
              <w:bottom w:w="0" w:type="dxa"/>
              <w:right w:w="15" w:type="dxa"/>
            </w:tcMar>
            <w:vAlign w:val="center"/>
            <w:hideMark/>
          </w:tcPr>
          <w:p w14:paraId="472D0A01"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70</w:t>
            </w:r>
          </w:p>
        </w:tc>
        <w:tc>
          <w:tcPr>
            <w:tcW w:w="343" w:type="pct"/>
            <w:shd w:val="clear" w:color="auto" w:fill="auto"/>
            <w:tcMar>
              <w:top w:w="15" w:type="dxa"/>
              <w:left w:w="15" w:type="dxa"/>
              <w:bottom w:w="0" w:type="dxa"/>
              <w:right w:w="15" w:type="dxa"/>
            </w:tcMar>
            <w:vAlign w:val="center"/>
            <w:hideMark/>
          </w:tcPr>
          <w:p w14:paraId="25E5A5BA"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2006</w:t>
            </w:r>
          </w:p>
        </w:tc>
        <w:tc>
          <w:tcPr>
            <w:tcW w:w="544" w:type="pct"/>
            <w:shd w:val="clear" w:color="auto" w:fill="auto"/>
            <w:tcMar>
              <w:top w:w="15" w:type="dxa"/>
              <w:left w:w="15" w:type="dxa"/>
              <w:bottom w:w="0" w:type="dxa"/>
              <w:right w:w="15" w:type="dxa"/>
            </w:tcMar>
            <w:vAlign w:val="center"/>
            <w:hideMark/>
          </w:tcPr>
          <w:p w14:paraId="7613907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Opportunity cost</w:t>
            </w:r>
            <w:r w:rsidRPr="0024133B">
              <w:rPr>
                <w:rFonts w:ascii="Times New Roman" w:hAnsi="Times New Roman" w:hint="eastAsia"/>
                <w:kern w:val="0"/>
                <w:szCs w:val="21"/>
              </w:rPr>
              <w:t>s</w:t>
            </w:r>
            <w:r w:rsidRPr="0024133B">
              <w:rPr>
                <w:rFonts w:ascii="Times New Roman" w:hAnsi="Times New Roman"/>
                <w:kern w:val="0"/>
                <w:szCs w:val="21"/>
              </w:rPr>
              <w:t xml:space="preserve"> for land</w:t>
            </w:r>
          </w:p>
        </w:tc>
        <w:tc>
          <w:tcPr>
            <w:tcW w:w="498" w:type="pct"/>
            <w:shd w:val="clear" w:color="auto" w:fill="auto"/>
            <w:noWrap/>
            <w:tcMar>
              <w:top w:w="15" w:type="dxa"/>
              <w:left w:w="15" w:type="dxa"/>
              <w:bottom w:w="0" w:type="dxa"/>
              <w:right w:w="15" w:type="dxa"/>
            </w:tcMar>
            <w:vAlign w:val="center"/>
            <w:hideMark/>
          </w:tcPr>
          <w:p w14:paraId="679ABC90"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Property security</w:t>
            </w:r>
          </w:p>
        </w:tc>
        <w:tc>
          <w:tcPr>
            <w:tcW w:w="443" w:type="pct"/>
            <w:shd w:val="clear" w:color="auto" w:fill="auto"/>
            <w:tcMar>
              <w:top w:w="15" w:type="dxa"/>
              <w:left w:w="15" w:type="dxa"/>
              <w:bottom w:w="0" w:type="dxa"/>
              <w:right w:w="15" w:type="dxa"/>
            </w:tcMar>
            <w:vAlign w:val="center"/>
            <w:hideMark/>
          </w:tcPr>
          <w:p w14:paraId="3640C026"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Slope</w:t>
            </w:r>
          </w:p>
        </w:tc>
        <w:tc>
          <w:tcPr>
            <w:tcW w:w="440" w:type="pct"/>
            <w:shd w:val="clear" w:color="auto" w:fill="auto"/>
            <w:tcMar>
              <w:top w:w="15" w:type="dxa"/>
              <w:left w:w="15" w:type="dxa"/>
              <w:bottom w:w="0" w:type="dxa"/>
              <w:right w:w="15" w:type="dxa"/>
            </w:tcMar>
            <w:vAlign w:val="center"/>
            <w:hideMark/>
          </w:tcPr>
          <w:p w14:paraId="6D18317E" w14:textId="77777777" w:rsidR="00695CAB" w:rsidRPr="0024133B" w:rsidRDefault="00695CAB" w:rsidP="0075750D">
            <w:pPr>
              <w:widowControl/>
              <w:spacing w:before="120" w:after="120"/>
              <w:jc w:val="center"/>
              <w:rPr>
                <w:rFonts w:ascii="Times New Roman" w:hAnsi="Times New Roman"/>
                <w:kern w:val="0"/>
                <w:szCs w:val="21"/>
              </w:rPr>
            </w:pPr>
          </w:p>
        </w:tc>
        <w:tc>
          <w:tcPr>
            <w:tcW w:w="345" w:type="pct"/>
            <w:shd w:val="clear" w:color="auto" w:fill="auto"/>
            <w:tcMar>
              <w:top w:w="15" w:type="dxa"/>
              <w:left w:w="15" w:type="dxa"/>
              <w:bottom w:w="0" w:type="dxa"/>
              <w:right w:w="15" w:type="dxa"/>
            </w:tcMar>
            <w:vAlign w:val="center"/>
            <w:hideMark/>
          </w:tcPr>
          <w:p w14:paraId="542F97BF"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543E1ABF" w14:textId="77777777" w:rsidTr="0075750D">
        <w:trPr>
          <w:trHeight w:val="720"/>
          <w:jc w:val="center"/>
        </w:trPr>
        <w:tc>
          <w:tcPr>
            <w:tcW w:w="166" w:type="pct"/>
            <w:shd w:val="clear" w:color="auto" w:fill="auto"/>
            <w:tcMar>
              <w:top w:w="15" w:type="dxa"/>
              <w:left w:w="15" w:type="dxa"/>
              <w:bottom w:w="0" w:type="dxa"/>
              <w:right w:w="15" w:type="dxa"/>
            </w:tcMar>
            <w:vAlign w:val="center"/>
            <w:hideMark/>
          </w:tcPr>
          <w:p w14:paraId="08B826EF"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24</w:t>
            </w:r>
          </w:p>
        </w:tc>
        <w:tc>
          <w:tcPr>
            <w:tcW w:w="726" w:type="pct"/>
            <w:shd w:val="clear" w:color="auto" w:fill="auto"/>
            <w:tcMar>
              <w:top w:w="15" w:type="dxa"/>
              <w:left w:w="15" w:type="dxa"/>
              <w:bottom w:w="0" w:type="dxa"/>
              <w:right w:w="15" w:type="dxa"/>
            </w:tcMar>
            <w:vAlign w:val="center"/>
            <w:hideMark/>
          </w:tcPr>
          <w:p w14:paraId="1BBA418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Yunnan (</w:t>
            </w:r>
            <w:proofErr w:type="spellStart"/>
            <w:r w:rsidRPr="0024133B">
              <w:rPr>
                <w:rFonts w:ascii="Times New Roman" w:hAnsi="Times New Roman"/>
                <w:kern w:val="0"/>
                <w:szCs w:val="21"/>
              </w:rPr>
              <w:t>Nujiang</w:t>
            </w:r>
            <w:proofErr w:type="spellEnd"/>
            <w:r w:rsidRPr="0024133B">
              <w:rPr>
                <w:rFonts w:ascii="Times New Roman" w:hAnsi="Times New Roman"/>
                <w:kern w:val="0"/>
                <w:szCs w:val="21"/>
              </w:rPr>
              <w:t xml:space="preserve"> Prefecture)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{"citationID":"sAEDiSlP","properties":{"formattedCitation":"[45]","plainCitation":"[45]","noteIndex":0},"citationItems":[{"id":"IuHaWYsY/FhUrRVL7","uris":["http://zotero.org/users/local/nuU8Soog/items/S2SI7AZI"],"itemData":{"id":93,"type":"article-journal","abstract":"Drawing on case studies carried out in the upper watersheds of the Mekong and Salween Rivers in northwest Yunnan Province, this paper examines two of China’s nascent national, large-scale forestry programs: the Sloping Land Conversion Program (SLCP) and the National Forest Protection Program (NFPP). It identifies their impacts on rural communities and local line agencies, as well as preliminary community and agency responses to the programs. The paper argues that as well-intentioned as the programs are, they fail to accomplish the envisaged goal of mitigating erosion and surface flow in upper watersheds and subsequently having a positive impact in flood plains and preventing floods. In addition, it also reveals some of the negative impacts on livelihoods of mountain communities, their environment and overall agro-biodiversity. Priority issues associated with SLCP and NFPP implementation arising from the case studies are also highlighted. The case studies suggest that more extensive program piloting and experimentation is required before forest conservation activities are scaled up.","collection-title":"Local Land Use Strategies in a Globalizing World: Subsistence Farming, Cash Crops and Income Diversification","container-title":"Agricultural Systems","DOI":"10.1016/j.agsy.2005.06.008","ISSN":"0308-521X","issue":"3","journalAbbreviation":"Agricultural Systems","language":"en","page":"234-253","source":"ScienceDirect","title":"Local impacts and responses to regional forest conservation and rehabilitation programs in China’s northwest Yunnan province","volume":"85","author":[{"family":"Weyerhaeuser","given":"Horst"},{"family":"Wilkes","given":"Andreas"},{"family":"Kahrl","given":"Fredrich"}],"issued":{"date-parts":[["2005",9,1]]}}}],"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[45]</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5370429D"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48 householders</w:t>
            </w:r>
          </w:p>
        </w:tc>
        <w:tc>
          <w:tcPr>
            <w:tcW w:w="332" w:type="pct"/>
            <w:shd w:val="clear" w:color="auto" w:fill="auto"/>
            <w:tcMar>
              <w:top w:w="15" w:type="dxa"/>
              <w:left w:w="15" w:type="dxa"/>
              <w:bottom w:w="0" w:type="dxa"/>
              <w:right w:w="15" w:type="dxa"/>
            </w:tcMar>
            <w:vAlign w:val="center"/>
            <w:hideMark/>
          </w:tcPr>
          <w:p w14:paraId="14B85CD3"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7FCDD1AE"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15F207E9"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01262753"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2002</w:t>
            </w:r>
          </w:p>
        </w:tc>
        <w:tc>
          <w:tcPr>
            <w:tcW w:w="544" w:type="pct"/>
            <w:shd w:val="clear" w:color="auto" w:fill="auto"/>
            <w:tcMar>
              <w:top w:w="15" w:type="dxa"/>
              <w:left w:w="15" w:type="dxa"/>
              <w:bottom w:w="0" w:type="dxa"/>
              <w:right w:w="15" w:type="dxa"/>
            </w:tcMar>
            <w:vAlign w:val="center"/>
            <w:hideMark/>
          </w:tcPr>
          <w:p w14:paraId="2FBF5F0A"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Opportunity cost</w:t>
            </w:r>
            <w:r w:rsidRPr="0024133B">
              <w:rPr>
                <w:rFonts w:ascii="Times New Roman" w:hAnsi="Times New Roman" w:hint="eastAsia"/>
                <w:kern w:val="0"/>
                <w:szCs w:val="21"/>
              </w:rPr>
              <w:t>s</w:t>
            </w:r>
            <w:r w:rsidRPr="0024133B">
              <w:rPr>
                <w:rFonts w:ascii="Times New Roman" w:hAnsi="Times New Roman"/>
                <w:kern w:val="0"/>
                <w:szCs w:val="21"/>
              </w:rPr>
              <w:t xml:space="preserve"> for land</w:t>
            </w:r>
          </w:p>
        </w:tc>
        <w:tc>
          <w:tcPr>
            <w:tcW w:w="498" w:type="pct"/>
            <w:shd w:val="clear" w:color="auto" w:fill="auto"/>
            <w:tcMar>
              <w:top w:w="15" w:type="dxa"/>
              <w:left w:w="15" w:type="dxa"/>
              <w:bottom w:w="0" w:type="dxa"/>
              <w:right w:w="15" w:type="dxa"/>
            </w:tcMar>
            <w:vAlign w:val="center"/>
            <w:hideMark/>
          </w:tcPr>
          <w:p w14:paraId="5BADCBD6"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Household labor endowments</w:t>
            </w:r>
          </w:p>
        </w:tc>
        <w:tc>
          <w:tcPr>
            <w:tcW w:w="443" w:type="pct"/>
            <w:shd w:val="clear" w:color="auto" w:fill="auto"/>
            <w:tcMar>
              <w:top w:w="15" w:type="dxa"/>
              <w:left w:w="15" w:type="dxa"/>
              <w:bottom w:w="0" w:type="dxa"/>
              <w:right w:w="15" w:type="dxa"/>
            </w:tcMar>
            <w:vAlign w:val="center"/>
            <w:hideMark/>
          </w:tcPr>
          <w:p w14:paraId="3571C7D7"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Slope</w:t>
            </w:r>
          </w:p>
        </w:tc>
        <w:tc>
          <w:tcPr>
            <w:tcW w:w="440" w:type="pct"/>
            <w:shd w:val="clear" w:color="auto" w:fill="auto"/>
            <w:tcMar>
              <w:top w:w="15" w:type="dxa"/>
              <w:left w:w="15" w:type="dxa"/>
              <w:bottom w:w="0" w:type="dxa"/>
              <w:right w:w="15" w:type="dxa"/>
            </w:tcMar>
            <w:vAlign w:val="center"/>
            <w:hideMark/>
          </w:tcPr>
          <w:p w14:paraId="690C6542" w14:textId="77777777" w:rsidR="00695CAB" w:rsidRPr="0024133B" w:rsidRDefault="00695CAB" w:rsidP="0075750D">
            <w:pPr>
              <w:widowControl/>
              <w:spacing w:before="120" w:after="120"/>
              <w:jc w:val="center"/>
              <w:rPr>
                <w:rFonts w:ascii="Times New Roman" w:hAnsi="Times New Roman"/>
                <w:kern w:val="0"/>
                <w:szCs w:val="21"/>
              </w:rPr>
            </w:pPr>
          </w:p>
        </w:tc>
        <w:tc>
          <w:tcPr>
            <w:tcW w:w="345" w:type="pct"/>
            <w:shd w:val="clear" w:color="auto" w:fill="auto"/>
            <w:tcMar>
              <w:top w:w="15" w:type="dxa"/>
              <w:left w:w="15" w:type="dxa"/>
              <w:bottom w:w="0" w:type="dxa"/>
              <w:right w:w="15" w:type="dxa"/>
            </w:tcMar>
            <w:vAlign w:val="center"/>
            <w:hideMark/>
          </w:tcPr>
          <w:p w14:paraId="1B95933C"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6AF4986C"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6D94E2D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25</w:t>
            </w:r>
          </w:p>
        </w:tc>
        <w:tc>
          <w:tcPr>
            <w:tcW w:w="726" w:type="pct"/>
            <w:shd w:val="clear" w:color="auto" w:fill="auto"/>
            <w:tcMar>
              <w:top w:w="15" w:type="dxa"/>
              <w:left w:w="15" w:type="dxa"/>
              <w:bottom w:w="0" w:type="dxa"/>
              <w:right w:w="15" w:type="dxa"/>
            </w:tcMar>
            <w:vAlign w:val="center"/>
            <w:hideMark/>
          </w:tcPr>
          <w:p w14:paraId="03CEF03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 xml:space="preserve">Shaanxi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{"citationID":"O2NoTIbG","properties":{"formattedCitation":"[76]","plainCitation":"[76]","noteIndex":0},"citationItems":[{"id":"IuHaWYsY/hnXol6EU","uris":["http://zotero.org/users/local/nuU8Soog/items/CGHQX7I9"],"itemData":{"id":173,"type":"article-journal","abstract":"In developing countries with small holdings, targeting payments-for-environmental-services prices to site-specific environmental benefits becomes administratively impractical. Instead, governments fix price and either dictate parcel enrollment or let farmers decide, which might be expected to maximize environmental benefits and minimize opportunity costs, respectively. No paper has actually tested such hypotheses in a developing-country setting. This paper examines China's Sloping Land Conversion Program, with 32 million planting forests, using a unique dataset on 3397 parcels, including farmer-choice and government-choice parcels. Farmers consider similar criteria to local governments but weight land characteristics within the farm (not the landscape) and household characteristics.","container-title":"Journal of Forest Economics","DOI":"10.1016/j.jfe.2012.08.002","ISSN":"1104-6899","issue":"1","journalAbbreviation":"Journal of Forest Economics","language":"en","page":"32-60","source":"ScienceDirect","title":"Do farmers or governments make better land conservation choices? Evidence from China's Sloping Land Conversion Program","title-short":"Do farmers or governments make better land conservation choices?","volume":"19","author":[{"family":"Kelly","given":"Peter"},{"family":"Huo","given":"Xuexi"}],"issued":{"date-parts":[["2013",1,1]]}}}],"schema":"https://github.com/citation-style-language/schema/raw/master/csl-citation.json"}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[76]</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34E2BBCF"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682 householders</w:t>
            </w:r>
          </w:p>
        </w:tc>
        <w:tc>
          <w:tcPr>
            <w:tcW w:w="332" w:type="pct"/>
            <w:shd w:val="clear" w:color="auto" w:fill="auto"/>
            <w:tcMar>
              <w:top w:w="15" w:type="dxa"/>
              <w:left w:w="15" w:type="dxa"/>
              <w:bottom w:w="0" w:type="dxa"/>
              <w:right w:w="15" w:type="dxa"/>
            </w:tcMar>
            <w:vAlign w:val="center"/>
            <w:hideMark/>
          </w:tcPr>
          <w:p w14:paraId="794BCCC3"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6BFB4980"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223FACA9"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7FCF9E4A"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1998, 2006</w:t>
            </w:r>
          </w:p>
        </w:tc>
        <w:tc>
          <w:tcPr>
            <w:tcW w:w="544" w:type="pct"/>
            <w:shd w:val="clear" w:color="auto" w:fill="auto"/>
            <w:tcMar>
              <w:top w:w="15" w:type="dxa"/>
              <w:left w:w="15" w:type="dxa"/>
              <w:bottom w:w="0" w:type="dxa"/>
              <w:right w:w="15" w:type="dxa"/>
            </w:tcMar>
            <w:vAlign w:val="center"/>
            <w:hideMark/>
          </w:tcPr>
          <w:p w14:paraId="5AF88759"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Education level</w:t>
            </w:r>
          </w:p>
        </w:tc>
        <w:tc>
          <w:tcPr>
            <w:tcW w:w="498" w:type="pct"/>
            <w:shd w:val="clear" w:color="auto" w:fill="auto"/>
            <w:tcMar>
              <w:top w:w="15" w:type="dxa"/>
              <w:left w:w="15" w:type="dxa"/>
              <w:bottom w:w="0" w:type="dxa"/>
              <w:right w:w="15" w:type="dxa"/>
            </w:tcMar>
            <w:vAlign w:val="center"/>
            <w:hideMark/>
          </w:tcPr>
          <w:p w14:paraId="0B6D54F3"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Household labor endowments</w:t>
            </w:r>
          </w:p>
        </w:tc>
        <w:tc>
          <w:tcPr>
            <w:tcW w:w="443" w:type="pct"/>
            <w:shd w:val="clear" w:color="auto" w:fill="auto"/>
            <w:tcMar>
              <w:top w:w="15" w:type="dxa"/>
              <w:left w:w="15" w:type="dxa"/>
              <w:bottom w:w="0" w:type="dxa"/>
              <w:right w:w="15" w:type="dxa"/>
            </w:tcMar>
            <w:vAlign w:val="center"/>
            <w:hideMark/>
          </w:tcPr>
          <w:p w14:paraId="7C60AC2A"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Opportunity cost</w:t>
            </w:r>
            <w:r w:rsidRPr="0024133B">
              <w:rPr>
                <w:rFonts w:ascii="Times New Roman" w:hAnsi="Times New Roman" w:hint="eastAsia"/>
                <w:kern w:val="0"/>
                <w:szCs w:val="21"/>
              </w:rPr>
              <w:t>s</w:t>
            </w:r>
            <w:r w:rsidRPr="0024133B">
              <w:rPr>
                <w:rFonts w:ascii="Times New Roman" w:hAnsi="Times New Roman"/>
                <w:kern w:val="0"/>
                <w:szCs w:val="21"/>
              </w:rPr>
              <w:t xml:space="preserve"> for land</w:t>
            </w:r>
          </w:p>
        </w:tc>
        <w:tc>
          <w:tcPr>
            <w:tcW w:w="440" w:type="pct"/>
            <w:shd w:val="clear" w:color="auto" w:fill="auto"/>
            <w:tcMar>
              <w:top w:w="15" w:type="dxa"/>
              <w:left w:w="15" w:type="dxa"/>
              <w:bottom w:w="0" w:type="dxa"/>
              <w:right w:w="15" w:type="dxa"/>
            </w:tcMar>
            <w:vAlign w:val="center"/>
            <w:hideMark/>
          </w:tcPr>
          <w:p w14:paraId="23B9C8D0"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Slope</w:t>
            </w:r>
          </w:p>
        </w:tc>
        <w:tc>
          <w:tcPr>
            <w:tcW w:w="345" w:type="pct"/>
            <w:shd w:val="clear" w:color="auto" w:fill="auto"/>
            <w:tcMar>
              <w:top w:w="15" w:type="dxa"/>
              <w:left w:w="15" w:type="dxa"/>
              <w:bottom w:w="0" w:type="dxa"/>
              <w:right w:w="15" w:type="dxa"/>
            </w:tcMar>
            <w:vAlign w:val="center"/>
            <w:hideMark/>
          </w:tcPr>
          <w:p w14:paraId="2959894A"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6CA79FC0"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44885E72"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26</w:t>
            </w:r>
          </w:p>
        </w:tc>
        <w:tc>
          <w:tcPr>
            <w:tcW w:w="726" w:type="pct"/>
            <w:shd w:val="clear" w:color="auto" w:fill="auto"/>
            <w:tcMar>
              <w:top w:w="15" w:type="dxa"/>
              <w:left w:w="15" w:type="dxa"/>
              <w:bottom w:w="0" w:type="dxa"/>
              <w:right w:w="15" w:type="dxa"/>
            </w:tcMar>
            <w:vAlign w:val="center"/>
            <w:hideMark/>
          </w:tcPr>
          <w:p w14:paraId="3E9C14F4"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 xml:space="preserve">Loess Plateau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{"citationID":"JjPzmrtq","properties":{"formattedCitation":"[77]","plainCitation":"[77]","noteIndex":0},"citationItems":[{"id":"IuHaWYsY/OTL7uLsv","uris":["http://zotero.org/users/local/nuU8Soog/items/29H6RD3V"],"itemData":{"id":175,"type":"article-journal","abstract":"China’s Sloping Land Conversion Program (SLCP) is the world’s largest payment for ecosystem services program for improving ecological conditions and farmers’ livelihood. Communicating the SLCP outcomes across diverse stakeholder groups in ecological, socio-economic, political and institutional contexts can facilitate the effective implementation of the new round of the SLCP. Experts from various fields involved in the SLCP have developed good connections with governments, agencies, and farmers; therefore they can play an invaluable role in informing urgent policy changes. This study is based upon 24 interviews with the SLCP experts with the aims of assessing their perceptions of ecological, economic, political and social impacts of the SLCP on the Loess Plateau of China, and then gathering their policy recommendations to ensure that the new round of the SLCP would be implemented efficiently. Content analysis based on the grounded theory is used in present study. Judging from expert-based consensual statements from this study’s interviews, the main concerns about the first round of the SLCP on the Loess Plateau are that the dramatic increase in the farmer’s income and livelihood is mainly from off-farm sources rather than the SLCP subsidy, that equitable government compensation is dependent on the outcome of the SLCP, that the aggressive SLCP causes soil drought which have negative effects on ecological restoration, and that the stakeholders’ interaction could be improved. Based on the analyses of the experts’ interviews, the recommendations are summarised as follows: strengthening the farmers’ environmental awareness and vocational skills, establishing multi-source financial supports and flexible compensation mechanisms, establishing participatory planning that requires stakeholder involvement especially farmers and insisting that scientific studies on the ecological restoration of the Loess Plateau must be shared with local governments and farmers.","container-title":"Land Use Policy","DOI":"10.1016/j.landusepol.2017.09.021","ISSN":"0264-8377","journalAbbreviation":"Land Use Policy","language":"en","page":"204-210","source":"ScienceDirect","title":"Experts’ perceptions of the sloping land conversion program in the Loess Plateau, China","volume":"69","author":[{"family":"Qu","given":"Mei"},{"family":"Liu","given":"Guangzhe"},{"family":"Lin","given":"Yin"},{"family":"Driedger","given":"Erika"},{"family":"Peter","given":"Zsuzsanna"},{"family":"Xu","given":"Xiaoqian"},{"family":"Cao","given":"Yang"}],"issued":{"date-parts":[["2017",12,1]]}}}],"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[77]</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04DCB0CE"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21779259"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03362D10"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506B724A"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450C528F" w14:textId="77777777" w:rsidR="00695CAB" w:rsidRPr="0024133B" w:rsidRDefault="00695CAB" w:rsidP="0075750D">
            <w:pPr>
              <w:widowControl/>
              <w:spacing w:before="120" w:after="120"/>
              <w:jc w:val="center"/>
              <w:rPr>
                <w:rFonts w:ascii="Times New Roman" w:hAnsi="Times New Roman"/>
                <w:kern w:val="0"/>
                <w:szCs w:val="21"/>
              </w:rPr>
            </w:pPr>
          </w:p>
        </w:tc>
        <w:tc>
          <w:tcPr>
            <w:tcW w:w="544" w:type="pct"/>
            <w:shd w:val="clear" w:color="auto" w:fill="auto"/>
            <w:tcMar>
              <w:top w:w="15" w:type="dxa"/>
              <w:left w:w="15" w:type="dxa"/>
              <w:bottom w:w="0" w:type="dxa"/>
              <w:right w:w="15" w:type="dxa"/>
            </w:tcMar>
            <w:vAlign w:val="center"/>
            <w:hideMark/>
          </w:tcPr>
          <w:p w14:paraId="04C801F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Forest management skills</w:t>
            </w:r>
          </w:p>
        </w:tc>
        <w:tc>
          <w:tcPr>
            <w:tcW w:w="498" w:type="pct"/>
            <w:shd w:val="clear" w:color="auto" w:fill="auto"/>
            <w:tcMar>
              <w:top w:w="15" w:type="dxa"/>
              <w:left w:w="15" w:type="dxa"/>
              <w:bottom w:w="0" w:type="dxa"/>
              <w:right w:w="15" w:type="dxa"/>
            </w:tcMar>
            <w:vAlign w:val="center"/>
            <w:hideMark/>
          </w:tcPr>
          <w:p w14:paraId="0800BF59"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Financial incentive</w:t>
            </w:r>
          </w:p>
        </w:tc>
        <w:tc>
          <w:tcPr>
            <w:tcW w:w="443" w:type="pct"/>
            <w:shd w:val="clear" w:color="auto" w:fill="auto"/>
            <w:tcMar>
              <w:top w:w="15" w:type="dxa"/>
              <w:left w:w="15" w:type="dxa"/>
              <w:bottom w:w="0" w:type="dxa"/>
              <w:right w:w="15" w:type="dxa"/>
            </w:tcMar>
            <w:vAlign w:val="center"/>
            <w:hideMark/>
          </w:tcPr>
          <w:p w14:paraId="1FB95F8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Property security</w:t>
            </w:r>
          </w:p>
        </w:tc>
        <w:tc>
          <w:tcPr>
            <w:tcW w:w="440" w:type="pct"/>
            <w:shd w:val="clear" w:color="auto" w:fill="auto"/>
            <w:tcMar>
              <w:top w:w="15" w:type="dxa"/>
              <w:left w:w="15" w:type="dxa"/>
              <w:bottom w:w="0" w:type="dxa"/>
              <w:right w:w="15" w:type="dxa"/>
            </w:tcMar>
            <w:vAlign w:val="center"/>
            <w:hideMark/>
          </w:tcPr>
          <w:p w14:paraId="259349C4" w14:textId="77777777" w:rsidR="00695CAB" w:rsidRPr="0024133B" w:rsidRDefault="00695CAB" w:rsidP="0075750D">
            <w:pPr>
              <w:widowControl/>
              <w:spacing w:before="120" w:after="120"/>
              <w:jc w:val="center"/>
              <w:rPr>
                <w:rFonts w:ascii="Times New Roman" w:hAnsi="Times New Roman"/>
                <w:kern w:val="0"/>
                <w:szCs w:val="21"/>
              </w:rPr>
            </w:pPr>
          </w:p>
        </w:tc>
        <w:tc>
          <w:tcPr>
            <w:tcW w:w="345" w:type="pct"/>
            <w:shd w:val="clear" w:color="auto" w:fill="auto"/>
            <w:tcMar>
              <w:top w:w="15" w:type="dxa"/>
              <w:left w:w="15" w:type="dxa"/>
              <w:bottom w:w="0" w:type="dxa"/>
              <w:right w:w="15" w:type="dxa"/>
            </w:tcMar>
            <w:vAlign w:val="center"/>
            <w:hideMark/>
          </w:tcPr>
          <w:p w14:paraId="1E8197C2"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4E82601B"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75A88461"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27</w:t>
            </w:r>
          </w:p>
        </w:tc>
        <w:tc>
          <w:tcPr>
            <w:tcW w:w="726" w:type="pct"/>
            <w:shd w:val="clear" w:color="auto" w:fill="auto"/>
            <w:tcMar>
              <w:top w:w="15" w:type="dxa"/>
              <w:left w:w="15" w:type="dxa"/>
              <w:bottom w:w="0" w:type="dxa"/>
              <w:right w:w="15" w:type="dxa"/>
            </w:tcMar>
            <w:vAlign w:val="center"/>
            <w:hideMark/>
          </w:tcPr>
          <w:p w14:paraId="5CEB725A" w14:textId="77777777" w:rsidR="00695CAB" w:rsidRPr="0024133B" w:rsidRDefault="00695CAB" w:rsidP="0075750D">
            <w:pPr>
              <w:widowControl/>
              <w:spacing w:before="120" w:after="120"/>
              <w:jc w:val="center"/>
              <w:rPr>
                <w:rFonts w:ascii="Times New Roman" w:hAnsi="Times New Roman"/>
                <w:kern w:val="0"/>
                <w:szCs w:val="21"/>
              </w:rPr>
            </w:pPr>
            <w:proofErr w:type="spellStart"/>
            <w:r w:rsidRPr="0024133B">
              <w:rPr>
                <w:rFonts w:ascii="Times New Roman" w:hAnsi="Times New Roman"/>
                <w:kern w:val="0"/>
                <w:szCs w:val="21"/>
              </w:rPr>
              <w:t>Qiban</w:t>
            </w:r>
            <w:proofErr w:type="spellEnd"/>
            <w:r w:rsidRPr="0024133B">
              <w:rPr>
                <w:rFonts w:ascii="Times New Roman" w:hAnsi="Times New Roman"/>
                <w:kern w:val="0"/>
                <w:szCs w:val="21"/>
              </w:rPr>
              <w:t xml:space="preserve"> ecological function zone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S7U4e5vh","properties":{"formattedCitation":"[78]","plainCitation":"[78]","noteIndex":0},"citationItems":[{"id":"IuHaWYsY/HOe1nLkG","uris":["http://zotero.org/users/local/nuU8Soog/items/L9EQEA7R"],"itemData":{"id":177,"type":"article-journal","container-title":"Resource science (in Chinese)","page":"881-892","title":"Ecological compensation, psychological factors, willingness and behavior of ecological protection in the Qinba ecological function area","volume":"39","author":[{"family":"Zhang","given":"Wenbin"},{"family":"Li","given":"Guoping"}],"issued":{"date-parts":[["2017"]]}}}],"schema":"https://github.com/citation-style-language/schema/raw/master/csl-citation.json"}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[78]</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4F8EBCF0"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614</w:t>
            </w:r>
          </w:p>
          <w:p w14:paraId="31F31FA6"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householders</w:t>
            </w:r>
          </w:p>
        </w:tc>
        <w:tc>
          <w:tcPr>
            <w:tcW w:w="332" w:type="pct"/>
            <w:shd w:val="clear" w:color="auto" w:fill="auto"/>
            <w:tcMar>
              <w:top w:w="15" w:type="dxa"/>
              <w:left w:w="15" w:type="dxa"/>
              <w:bottom w:w="0" w:type="dxa"/>
              <w:right w:w="15" w:type="dxa"/>
            </w:tcMar>
            <w:vAlign w:val="center"/>
            <w:hideMark/>
          </w:tcPr>
          <w:p w14:paraId="571202B0"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68FDFC8A"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72CE3BD5"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6CDA4453"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1999–2008</w:t>
            </w:r>
          </w:p>
        </w:tc>
        <w:tc>
          <w:tcPr>
            <w:tcW w:w="544" w:type="pct"/>
            <w:shd w:val="clear" w:color="auto" w:fill="auto"/>
            <w:tcMar>
              <w:top w:w="15" w:type="dxa"/>
              <w:left w:w="15" w:type="dxa"/>
              <w:bottom w:w="0" w:type="dxa"/>
              <w:right w:w="15" w:type="dxa"/>
            </w:tcMar>
            <w:vAlign w:val="center"/>
            <w:hideMark/>
          </w:tcPr>
          <w:p w14:paraId="0C7C1E5D"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Off-farm labor allocation</w:t>
            </w:r>
          </w:p>
        </w:tc>
        <w:tc>
          <w:tcPr>
            <w:tcW w:w="498" w:type="pct"/>
            <w:shd w:val="clear" w:color="auto" w:fill="auto"/>
            <w:tcMar>
              <w:top w:w="15" w:type="dxa"/>
              <w:left w:w="15" w:type="dxa"/>
              <w:bottom w:w="0" w:type="dxa"/>
              <w:right w:w="15" w:type="dxa"/>
            </w:tcMar>
            <w:vAlign w:val="center"/>
            <w:hideMark/>
          </w:tcPr>
          <w:p w14:paraId="10A59328" w14:textId="77777777" w:rsidR="00695CAB" w:rsidRPr="0024133B" w:rsidRDefault="00695CAB" w:rsidP="0075750D">
            <w:pPr>
              <w:widowControl/>
              <w:spacing w:before="120" w:after="120"/>
              <w:jc w:val="center"/>
              <w:rPr>
                <w:rFonts w:ascii="Times New Roman" w:hAnsi="Times New Roman"/>
                <w:kern w:val="0"/>
                <w:szCs w:val="21"/>
              </w:rPr>
            </w:pPr>
          </w:p>
        </w:tc>
        <w:tc>
          <w:tcPr>
            <w:tcW w:w="443" w:type="pct"/>
            <w:shd w:val="clear" w:color="auto" w:fill="auto"/>
            <w:tcMar>
              <w:top w:w="15" w:type="dxa"/>
              <w:left w:w="15" w:type="dxa"/>
              <w:bottom w:w="0" w:type="dxa"/>
              <w:right w:w="15" w:type="dxa"/>
            </w:tcMar>
            <w:vAlign w:val="center"/>
            <w:hideMark/>
          </w:tcPr>
          <w:p w14:paraId="3B0B0FF1" w14:textId="77777777" w:rsidR="00695CAB" w:rsidRPr="0024133B" w:rsidRDefault="00695CAB" w:rsidP="0075750D">
            <w:pPr>
              <w:widowControl/>
              <w:spacing w:before="120" w:after="120"/>
              <w:jc w:val="center"/>
              <w:rPr>
                <w:rFonts w:ascii="Times New Roman" w:hAnsi="Times New Roman"/>
                <w:kern w:val="0"/>
                <w:szCs w:val="21"/>
              </w:rPr>
            </w:pPr>
          </w:p>
        </w:tc>
        <w:tc>
          <w:tcPr>
            <w:tcW w:w="440" w:type="pct"/>
            <w:shd w:val="clear" w:color="auto" w:fill="auto"/>
            <w:tcMar>
              <w:top w:w="15" w:type="dxa"/>
              <w:left w:w="15" w:type="dxa"/>
              <w:bottom w:w="0" w:type="dxa"/>
              <w:right w:w="15" w:type="dxa"/>
            </w:tcMar>
            <w:vAlign w:val="center"/>
            <w:hideMark/>
          </w:tcPr>
          <w:p w14:paraId="326F630C" w14:textId="77777777" w:rsidR="00695CAB" w:rsidRPr="0024133B" w:rsidRDefault="00695CAB" w:rsidP="0075750D">
            <w:pPr>
              <w:widowControl/>
              <w:spacing w:before="120" w:after="120"/>
              <w:jc w:val="center"/>
              <w:rPr>
                <w:rFonts w:ascii="Times New Roman" w:hAnsi="Times New Roman"/>
                <w:kern w:val="0"/>
                <w:szCs w:val="21"/>
              </w:rPr>
            </w:pPr>
          </w:p>
        </w:tc>
        <w:tc>
          <w:tcPr>
            <w:tcW w:w="345" w:type="pct"/>
            <w:shd w:val="clear" w:color="auto" w:fill="auto"/>
            <w:tcMar>
              <w:top w:w="15" w:type="dxa"/>
              <w:left w:w="15" w:type="dxa"/>
              <w:bottom w:w="0" w:type="dxa"/>
              <w:right w:w="15" w:type="dxa"/>
            </w:tcMar>
            <w:vAlign w:val="center"/>
            <w:hideMark/>
          </w:tcPr>
          <w:p w14:paraId="76379CAC"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461441B1"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7AADBBC1"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28</w:t>
            </w:r>
          </w:p>
        </w:tc>
        <w:tc>
          <w:tcPr>
            <w:tcW w:w="726" w:type="pct"/>
            <w:shd w:val="clear" w:color="auto" w:fill="auto"/>
            <w:tcMar>
              <w:top w:w="15" w:type="dxa"/>
              <w:left w:w="15" w:type="dxa"/>
              <w:bottom w:w="0" w:type="dxa"/>
              <w:right w:w="15" w:type="dxa"/>
            </w:tcMar>
            <w:vAlign w:val="center"/>
            <w:hideMark/>
          </w:tcPr>
          <w:p w14:paraId="7608D40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 xml:space="preserve">Inner Mongolia, Shaanxi, Gansu, Qinghai, Ningxia, and Xinjiang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5C1nnX3S","properties":{"formattedCitation":"[79]","plainCitation":"[79]","noteIndex":0},"citationItems":[{"id":"IuHaWYsY/tVnMVwy8","uris":["http://zotero.org/users/local/nuU8Soog/items/RW9L87X8"],"itemData":{"id":178,"type":"article-journal","container-title":"Bulletin soil and water conservation","page":"199-202","title":"Achievements and trends of Grain for Green Program in Northwest China – Analysis based on surveying 739 rural households in 5 provinces in Northwest China and Inner Mongolia autonomous region","volume":"6","author":[{"family":"Su","given":"Yuexiu"},{"family":"Peng","given":"Daoli"},{"family":"Xie","given":"Chen"},{"family":"Huang","given":"Dong"}],"issued":{"date-parts":[["2011"]]}}}],"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[79]</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4BBBB0C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810 householders</w:t>
            </w:r>
          </w:p>
        </w:tc>
        <w:tc>
          <w:tcPr>
            <w:tcW w:w="332" w:type="pct"/>
            <w:shd w:val="clear" w:color="auto" w:fill="auto"/>
            <w:tcMar>
              <w:top w:w="15" w:type="dxa"/>
              <w:left w:w="15" w:type="dxa"/>
              <w:bottom w:w="0" w:type="dxa"/>
              <w:right w:w="15" w:type="dxa"/>
            </w:tcMar>
            <w:vAlign w:val="center"/>
            <w:hideMark/>
          </w:tcPr>
          <w:p w14:paraId="7A7A2CE4"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15.84</w:t>
            </w:r>
          </w:p>
        </w:tc>
        <w:tc>
          <w:tcPr>
            <w:tcW w:w="332" w:type="pct"/>
            <w:shd w:val="clear" w:color="auto" w:fill="auto"/>
            <w:tcMar>
              <w:top w:w="15" w:type="dxa"/>
              <w:left w:w="15" w:type="dxa"/>
              <w:bottom w:w="0" w:type="dxa"/>
              <w:right w:w="15" w:type="dxa"/>
            </w:tcMar>
            <w:vAlign w:val="center"/>
            <w:hideMark/>
          </w:tcPr>
          <w:p w14:paraId="3C191C2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16.46</w:t>
            </w:r>
          </w:p>
        </w:tc>
        <w:tc>
          <w:tcPr>
            <w:tcW w:w="332" w:type="pct"/>
            <w:shd w:val="clear" w:color="auto" w:fill="auto"/>
            <w:tcMar>
              <w:top w:w="15" w:type="dxa"/>
              <w:left w:w="15" w:type="dxa"/>
              <w:bottom w:w="0" w:type="dxa"/>
              <w:right w:w="15" w:type="dxa"/>
            </w:tcMar>
            <w:vAlign w:val="center"/>
            <w:hideMark/>
          </w:tcPr>
          <w:p w14:paraId="2A5A627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67.70</w:t>
            </w:r>
          </w:p>
        </w:tc>
        <w:tc>
          <w:tcPr>
            <w:tcW w:w="343" w:type="pct"/>
            <w:shd w:val="clear" w:color="auto" w:fill="auto"/>
            <w:tcMar>
              <w:top w:w="15" w:type="dxa"/>
              <w:left w:w="15" w:type="dxa"/>
              <w:bottom w:w="0" w:type="dxa"/>
              <w:right w:w="15" w:type="dxa"/>
            </w:tcMar>
            <w:vAlign w:val="center"/>
            <w:hideMark/>
          </w:tcPr>
          <w:p w14:paraId="6880DFC0"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2010</w:t>
            </w:r>
          </w:p>
        </w:tc>
        <w:tc>
          <w:tcPr>
            <w:tcW w:w="544" w:type="pct"/>
            <w:shd w:val="clear" w:color="auto" w:fill="auto"/>
            <w:tcMar>
              <w:top w:w="15" w:type="dxa"/>
              <w:left w:w="15" w:type="dxa"/>
              <w:bottom w:w="0" w:type="dxa"/>
              <w:right w:w="15" w:type="dxa"/>
            </w:tcMar>
            <w:vAlign w:val="center"/>
            <w:hideMark/>
          </w:tcPr>
          <w:p w14:paraId="3314A523"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Financial incentive</w:t>
            </w:r>
          </w:p>
        </w:tc>
        <w:tc>
          <w:tcPr>
            <w:tcW w:w="498" w:type="pct"/>
            <w:shd w:val="clear" w:color="auto" w:fill="auto"/>
            <w:tcMar>
              <w:top w:w="15" w:type="dxa"/>
              <w:left w:w="15" w:type="dxa"/>
              <w:bottom w:w="0" w:type="dxa"/>
              <w:right w:w="15" w:type="dxa"/>
            </w:tcMar>
            <w:vAlign w:val="center"/>
            <w:hideMark/>
          </w:tcPr>
          <w:p w14:paraId="3A100822" w14:textId="77777777" w:rsidR="00695CAB" w:rsidRPr="0024133B" w:rsidRDefault="00695CAB" w:rsidP="0075750D">
            <w:pPr>
              <w:widowControl/>
              <w:spacing w:before="120" w:after="120"/>
              <w:jc w:val="center"/>
              <w:rPr>
                <w:rFonts w:ascii="Times New Roman" w:hAnsi="Times New Roman"/>
                <w:kern w:val="0"/>
                <w:szCs w:val="21"/>
              </w:rPr>
            </w:pPr>
          </w:p>
        </w:tc>
        <w:tc>
          <w:tcPr>
            <w:tcW w:w="443" w:type="pct"/>
            <w:shd w:val="clear" w:color="auto" w:fill="auto"/>
            <w:noWrap/>
            <w:tcMar>
              <w:top w:w="15" w:type="dxa"/>
              <w:left w:w="15" w:type="dxa"/>
              <w:bottom w:w="0" w:type="dxa"/>
              <w:right w:w="15" w:type="dxa"/>
            </w:tcMar>
            <w:vAlign w:val="center"/>
            <w:hideMark/>
          </w:tcPr>
          <w:p w14:paraId="1414C0B8" w14:textId="77777777" w:rsidR="00695CAB" w:rsidRPr="0024133B" w:rsidRDefault="00695CAB" w:rsidP="0075750D">
            <w:pPr>
              <w:widowControl/>
              <w:spacing w:before="120" w:after="120"/>
              <w:jc w:val="center"/>
              <w:rPr>
                <w:rFonts w:ascii="Times New Roman" w:hAnsi="Times New Roman"/>
                <w:kern w:val="0"/>
                <w:szCs w:val="21"/>
              </w:rPr>
            </w:pPr>
          </w:p>
        </w:tc>
        <w:tc>
          <w:tcPr>
            <w:tcW w:w="440" w:type="pct"/>
            <w:shd w:val="clear" w:color="auto" w:fill="auto"/>
            <w:tcMar>
              <w:top w:w="15" w:type="dxa"/>
              <w:left w:w="15" w:type="dxa"/>
              <w:bottom w:w="0" w:type="dxa"/>
              <w:right w:w="15" w:type="dxa"/>
            </w:tcMar>
            <w:vAlign w:val="center"/>
            <w:hideMark/>
          </w:tcPr>
          <w:p w14:paraId="7B320771" w14:textId="77777777" w:rsidR="00695CAB" w:rsidRPr="0024133B" w:rsidRDefault="00695CAB" w:rsidP="0075750D">
            <w:pPr>
              <w:widowControl/>
              <w:spacing w:before="120" w:after="120"/>
              <w:jc w:val="center"/>
              <w:rPr>
                <w:rFonts w:ascii="Times New Roman" w:hAnsi="Times New Roman"/>
                <w:kern w:val="0"/>
                <w:szCs w:val="21"/>
              </w:rPr>
            </w:pPr>
          </w:p>
        </w:tc>
        <w:tc>
          <w:tcPr>
            <w:tcW w:w="345" w:type="pct"/>
            <w:shd w:val="clear" w:color="auto" w:fill="auto"/>
            <w:tcMar>
              <w:top w:w="15" w:type="dxa"/>
              <w:left w:w="15" w:type="dxa"/>
              <w:bottom w:w="0" w:type="dxa"/>
              <w:right w:w="15" w:type="dxa"/>
            </w:tcMar>
            <w:vAlign w:val="center"/>
            <w:hideMark/>
          </w:tcPr>
          <w:p w14:paraId="49546785"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25EF3D15"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1228FE1E"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lastRenderedPageBreak/>
              <w:t>29</w:t>
            </w:r>
          </w:p>
        </w:tc>
        <w:tc>
          <w:tcPr>
            <w:tcW w:w="726" w:type="pct"/>
            <w:shd w:val="clear" w:color="auto" w:fill="auto"/>
            <w:tcMar>
              <w:top w:w="15" w:type="dxa"/>
              <w:left w:w="15" w:type="dxa"/>
              <w:bottom w:w="0" w:type="dxa"/>
              <w:right w:w="15" w:type="dxa"/>
            </w:tcMar>
            <w:vAlign w:val="center"/>
            <w:hideMark/>
          </w:tcPr>
          <w:p w14:paraId="49A97E12"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Inner Mongolia (</w:t>
            </w:r>
            <w:proofErr w:type="spellStart"/>
            <w:r w:rsidRPr="0024133B">
              <w:rPr>
                <w:rFonts w:ascii="Times New Roman" w:hAnsi="Times New Roman"/>
                <w:kern w:val="0"/>
                <w:szCs w:val="21"/>
              </w:rPr>
              <w:t>Naiman</w:t>
            </w:r>
            <w:proofErr w:type="spellEnd"/>
            <w:r w:rsidRPr="0024133B">
              <w:rPr>
                <w:rFonts w:ascii="Times New Roman" w:hAnsi="Times New Roman"/>
                <w:kern w:val="0"/>
                <w:szCs w:val="21"/>
              </w:rPr>
              <w:t xml:space="preserve">)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{"citationID":"zzRhvCpy","properties":{"formattedCitation":"[48]","plainCitation":"[48]","noteIndex":0},"citationItems":[{"id":"IuHaWYsY/mUdB83Ju","uris":["http://zotero.org/users/local/nuU8Soog/items/ALWH3VRX"],"itemData":{"id":107,"type":"article-journal","abstract":"Recent conceptual developments in ecosystem services research have revealed the need to elucidate the complex and unintended relationships between humans and the environment if we are to better understand and manage ecosystem services in practice.","container-title":"Landscape Ecology","DOI":"10.1007/s10980-017-0495-x","ISSN":"1572-9761","issue":"4","journalAbbreviation":"Landscape Ecol","language":"en","page":"707-727","source":"Springer Link","title":"Agent-based modeling of complex social–ecological feedback loops to assess multi-dimensional trade-offs in dryland ecosystem services","volume":"32","author":[{"family":"Miyasaka","given":"Takafumi"},{"family":"Le","given":"Quang Bao"},{"family":"Okuro","given":"Toshiya"},{"family":"Zhao","given":"Xueyong"},{"family":"Takeuchi","given":"Kazuhiko"}],"issued":{"date-parts":[["2017",4,1]]}}}],"schema":"https://github.com/citation-style-language/schema/raw/master/csl-citation.json"}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[48]</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065642B9"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364A5FF1"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5E4F64E2"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26DE251E"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3342C2C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2010</w:t>
            </w:r>
          </w:p>
        </w:tc>
        <w:tc>
          <w:tcPr>
            <w:tcW w:w="544" w:type="pct"/>
            <w:shd w:val="clear" w:color="auto" w:fill="auto"/>
            <w:tcMar>
              <w:top w:w="15" w:type="dxa"/>
              <w:left w:w="15" w:type="dxa"/>
              <w:bottom w:w="0" w:type="dxa"/>
              <w:right w:w="15" w:type="dxa"/>
            </w:tcMar>
            <w:vAlign w:val="center"/>
            <w:hideMark/>
          </w:tcPr>
          <w:p w14:paraId="2336D55D"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Opportunity cost</w:t>
            </w:r>
            <w:r w:rsidRPr="0024133B">
              <w:rPr>
                <w:rFonts w:ascii="Times New Roman" w:hAnsi="Times New Roman" w:hint="eastAsia"/>
                <w:kern w:val="0"/>
                <w:szCs w:val="21"/>
              </w:rPr>
              <w:t>s</w:t>
            </w:r>
            <w:r w:rsidRPr="0024133B">
              <w:rPr>
                <w:rFonts w:ascii="Times New Roman" w:hAnsi="Times New Roman"/>
                <w:kern w:val="0"/>
                <w:szCs w:val="21"/>
              </w:rPr>
              <w:t xml:space="preserve"> for land (livelihood type)</w:t>
            </w:r>
          </w:p>
        </w:tc>
        <w:tc>
          <w:tcPr>
            <w:tcW w:w="498" w:type="pct"/>
            <w:shd w:val="clear" w:color="auto" w:fill="auto"/>
            <w:tcMar>
              <w:top w:w="15" w:type="dxa"/>
              <w:left w:w="15" w:type="dxa"/>
              <w:bottom w:w="0" w:type="dxa"/>
              <w:right w:w="15" w:type="dxa"/>
            </w:tcMar>
            <w:vAlign w:val="center"/>
            <w:hideMark/>
          </w:tcPr>
          <w:p w14:paraId="09A40371"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Slope</w:t>
            </w:r>
          </w:p>
        </w:tc>
        <w:tc>
          <w:tcPr>
            <w:tcW w:w="443" w:type="pct"/>
            <w:shd w:val="clear" w:color="auto" w:fill="auto"/>
            <w:tcMar>
              <w:top w:w="15" w:type="dxa"/>
              <w:left w:w="15" w:type="dxa"/>
              <w:bottom w:w="0" w:type="dxa"/>
              <w:right w:w="15" w:type="dxa"/>
            </w:tcMar>
            <w:vAlign w:val="center"/>
            <w:hideMark/>
          </w:tcPr>
          <w:p w14:paraId="7424B16E" w14:textId="77777777" w:rsidR="00695CAB" w:rsidRPr="0024133B" w:rsidRDefault="00695CAB" w:rsidP="0075750D">
            <w:pPr>
              <w:widowControl/>
              <w:spacing w:before="120" w:after="120"/>
              <w:jc w:val="center"/>
              <w:rPr>
                <w:rFonts w:ascii="Times New Roman" w:hAnsi="Times New Roman"/>
                <w:kern w:val="0"/>
                <w:szCs w:val="21"/>
              </w:rPr>
            </w:pPr>
          </w:p>
        </w:tc>
        <w:tc>
          <w:tcPr>
            <w:tcW w:w="440" w:type="pct"/>
            <w:shd w:val="clear" w:color="auto" w:fill="auto"/>
            <w:tcMar>
              <w:top w:w="15" w:type="dxa"/>
              <w:left w:w="15" w:type="dxa"/>
              <w:bottom w:w="0" w:type="dxa"/>
              <w:right w:w="15" w:type="dxa"/>
            </w:tcMar>
            <w:vAlign w:val="center"/>
            <w:hideMark/>
          </w:tcPr>
          <w:p w14:paraId="3EB7CFAF" w14:textId="77777777" w:rsidR="00695CAB" w:rsidRPr="0024133B" w:rsidRDefault="00695CAB" w:rsidP="0075750D">
            <w:pPr>
              <w:widowControl/>
              <w:spacing w:before="120" w:after="120"/>
              <w:jc w:val="center"/>
              <w:rPr>
                <w:rFonts w:ascii="Times New Roman" w:hAnsi="Times New Roman"/>
                <w:kern w:val="0"/>
                <w:szCs w:val="21"/>
              </w:rPr>
            </w:pPr>
          </w:p>
        </w:tc>
        <w:tc>
          <w:tcPr>
            <w:tcW w:w="345" w:type="pct"/>
            <w:shd w:val="clear" w:color="auto" w:fill="auto"/>
            <w:tcMar>
              <w:top w:w="15" w:type="dxa"/>
              <w:left w:w="15" w:type="dxa"/>
              <w:bottom w:w="0" w:type="dxa"/>
              <w:right w:w="15" w:type="dxa"/>
            </w:tcMar>
            <w:vAlign w:val="center"/>
            <w:hideMark/>
          </w:tcPr>
          <w:p w14:paraId="2CA736D4"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60723930"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66070ED7"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30</w:t>
            </w:r>
          </w:p>
        </w:tc>
        <w:tc>
          <w:tcPr>
            <w:tcW w:w="726" w:type="pct"/>
            <w:shd w:val="clear" w:color="auto" w:fill="auto"/>
            <w:tcMar>
              <w:top w:w="15" w:type="dxa"/>
              <w:left w:w="15" w:type="dxa"/>
              <w:bottom w:w="0" w:type="dxa"/>
              <w:right w:w="15" w:type="dxa"/>
            </w:tcMar>
            <w:vAlign w:val="center"/>
            <w:hideMark/>
          </w:tcPr>
          <w:p w14:paraId="37D1417F" w14:textId="77777777" w:rsidR="00695CAB" w:rsidRPr="0024133B" w:rsidRDefault="00695CAB" w:rsidP="0075750D">
            <w:pPr>
              <w:widowControl/>
              <w:spacing w:before="120" w:after="120"/>
              <w:jc w:val="center"/>
              <w:rPr>
                <w:rFonts w:ascii="Times New Roman" w:hAnsi="Times New Roman"/>
                <w:kern w:val="0"/>
                <w:szCs w:val="21"/>
              </w:rPr>
            </w:pPr>
            <w:proofErr w:type="spellStart"/>
            <w:r w:rsidRPr="0024133B">
              <w:rPr>
                <w:rFonts w:ascii="Times New Roman" w:hAnsi="Times New Roman"/>
                <w:kern w:val="0"/>
                <w:szCs w:val="21"/>
              </w:rPr>
              <w:t>Wuqi</w:t>
            </w:r>
            <w:proofErr w:type="spellEnd"/>
            <w:r w:rsidRPr="0024133B">
              <w:rPr>
                <w:rFonts w:ascii="Times New Roman" w:hAnsi="Times New Roman"/>
                <w:kern w:val="0"/>
                <w:szCs w:val="21"/>
              </w:rPr>
              <w:t xml:space="preserve">, </w:t>
            </w:r>
            <w:proofErr w:type="spellStart"/>
            <w:r w:rsidRPr="0024133B">
              <w:rPr>
                <w:rFonts w:ascii="Times New Roman" w:hAnsi="Times New Roman"/>
                <w:kern w:val="0"/>
                <w:szCs w:val="21"/>
              </w:rPr>
              <w:t>Dingbian</w:t>
            </w:r>
            <w:proofErr w:type="spellEnd"/>
            <w:r w:rsidRPr="0024133B">
              <w:rPr>
                <w:rFonts w:ascii="Times New Roman" w:hAnsi="Times New Roman"/>
                <w:kern w:val="0"/>
                <w:szCs w:val="21"/>
              </w:rPr>
              <w:t xml:space="preserve">, and </w:t>
            </w:r>
            <w:proofErr w:type="spellStart"/>
            <w:r w:rsidRPr="0024133B">
              <w:rPr>
                <w:rFonts w:ascii="Times New Roman" w:hAnsi="Times New Roman"/>
                <w:kern w:val="0"/>
                <w:szCs w:val="21"/>
              </w:rPr>
              <w:t>Huachi</w:t>
            </w:r>
            <w:proofErr w:type="spellEnd"/>
            <w:r w:rsidRPr="0024133B">
              <w:rPr>
                <w:rFonts w:ascii="Times New Roman" w:hAnsi="Times New Roman"/>
                <w:kern w:val="0"/>
                <w:szCs w:val="21"/>
              </w:rPr>
              <w:t xml:space="preserve">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wDyEEvHZ","properties":{"formattedCitation":"[80]","plainCitation":"[80]","noteIndex":0},"citationItems":[{"id":"IuHaWYsY/1SS03OuK","uris":["http://zotero.org/users/local/nuU8Soog/items/SAZCFGZA"],"itemData":{"id":179,"type":"article-journal","container-title":"China Agricultural Economic Review","DOI":"10.1108/CAER-07-2013-0094","ISSN":"1756-137X","issue":"2","journalAbbreviation":"China Ag Economic Review","language":"en","page":"221-239","source":"DOI.org (Crossref)","title":"Assessing the impact of China’s sloping land conversion program on household production efficiency under spatial heterogeneity and output diversification","volume":"7","author":[{"family":"Zhao","given":"Minjuan"},{"family":"Yin","given":"Runsheng"},{"family":"Yao","given":"Liuyang"},{"family":"Xu","given":"Tao"}],"issued":{"date-parts":[["2015",5,5]]}}}],"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[80]</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71CA747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436 householders</w:t>
            </w:r>
          </w:p>
        </w:tc>
        <w:tc>
          <w:tcPr>
            <w:tcW w:w="332" w:type="pct"/>
            <w:shd w:val="clear" w:color="auto" w:fill="auto"/>
            <w:tcMar>
              <w:top w:w="15" w:type="dxa"/>
              <w:left w:w="15" w:type="dxa"/>
              <w:bottom w:w="0" w:type="dxa"/>
              <w:right w:w="15" w:type="dxa"/>
            </w:tcMar>
            <w:vAlign w:val="center"/>
            <w:hideMark/>
          </w:tcPr>
          <w:p w14:paraId="7EE3A098"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7D94E89E"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54ACE9E9"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08967ADF"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2008</w:t>
            </w:r>
          </w:p>
        </w:tc>
        <w:tc>
          <w:tcPr>
            <w:tcW w:w="544" w:type="pct"/>
            <w:shd w:val="clear" w:color="auto" w:fill="auto"/>
            <w:tcMar>
              <w:top w:w="15" w:type="dxa"/>
              <w:left w:w="15" w:type="dxa"/>
              <w:bottom w:w="0" w:type="dxa"/>
              <w:right w:w="15" w:type="dxa"/>
            </w:tcMar>
            <w:vAlign w:val="center"/>
            <w:hideMark/>
          </w:tcPr>
          <w:p w14:paraId="0FF46DB8"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Opportunity cost</w:t>
            </w:r>
            <w:r w:rsidRPr="0024133B">
              <w:rPr>
                <w:rFonts w:ascii="Times New Roman" w:hAnsi="Times New Roman" w:hint="eastAsia"/>
                <w:kern w:val="0"/>
                <w:szCs w:val="21"/>
              </w:rPr>
              <w:t>s</w:t>
            </w:r>
            <w:r w:rsidRPr="0024133B">
              <w:rPr>
                <w:rFonts w:ascii="Times New Roman" w:hAnsi="Times New Roman"/>
                <w:kern w:val="0"/>
                <w:szCs w:val="21"/>
              </w:rPr>
              <w:t xml:space="preserve"> for land</w:t>
            </w:r>
          </w:p>
        </w:tc>
        <w:tc>
          <w:tcPr>
            <w:tcW w:w="498" w:type="pct"/>
            <w:shd w:val="clear" w:color="auto" w:fill="auto"/>
            <w:tcMar>
              <w:top w:w="15" w:type="dxa"/>
              <w:left w:w="15" w:type="dxa"/>
              <w:bottom w:w="0" w:type="dxa"/>
              <w:right w:w="15" w:type="dxa"/>
            </w:tcMar>
            <w:vAlign w:val="center"/>
            <w:hideMark/>
          </w:tcPr>
          <w:p w14:paraId="2F21E1DE"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Economy structures</w:t>
            </w:r>
          </w:p>
        </w:tc>
        <w:tc>
          <w:tcPr>
            <w:tcW w:w="443" w:type="pct"/>
            <w:shd w:val="clear" w:color="auto" w:fill="auto"/>
            <w:tcMar>
              <w:top w:w="15" w:type="dxa"/>
              <w:left w:w="15" w:type="dxa"/>
              <w:bottom w:w="0" w:type="dxa"/>
              <w:right w:w="15" w:type="dxa"/>
            </w:tcMar>
            <w:vAlign w:val="center"/>
            <w:hideMark/>
          </w:tcPr>
          <w:p w14:paraId="41E2DA10"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Off-farm labor allocation</w:t>
            </w:r>
          </w:p>
        </w:tc>
        <w:tc>
          <w:tcPr>
            <w:tcW w:w="440" w:type="pct"/>
            <w:shd w:val="clear" w:color="auto" w:fill="auto"/>
            <w:tcMar>
              <w:top w:w="15" w:type="dxa"/>
              <w:left w:w="15" w:type="dxa"/>
              <w:bottom w:w="0" w:type="dxa"/>
              <w:right w:w="15" w:type="dxa"/>
            </w:tcMar>
            <w:vAlign w:val="center"/>
            <w:hideMark/>
          </w:tcPr>
          <w:p w14:paraId="36D47E8A"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Slope</w:t>
            </w:r>
          </w:p>
        </w:tc>
        <w:tc>
          <w:tcPr>
            <w:tcW w:w="345" w:type="pct"/>
            <w:shd w:val="clear" w:color="auto" w:fill="auto"/>
            <w:tcMar>
              <w:top w:w="15" w:type="dxa"/>
              <w:left w:w="15" w:type="dxa"/>
              <w:bottom w:w="0" w:type="dxa"/>
              <w:right w:w="15" w:type="dxa"/>
            </w:tcMar>
            <w:vAlign w:val="center"/>
            <w:hideMark/>
          </w:tcPr>
          <w:p w14:paraId="11074F19"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516C8753"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1908CEBE"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31</w:t>
            </w:r>
          </w:p>
        </w:tc>
        <w:tc>
          <w:tcPr>
            <w:tcW w:w="726" w:type="pct"/>
            <w:shd w:val="clear" w:color="auto" w:fill="auto"/>
            <w:tcMar>
              <w:top w:w="15" w:type="dxa"/>
              <w:left w:w="15" w:type="dxa"/>
              <w:bottom w:w="0" w:type="dxa"/>
              <w:right w:w="15" w:type="dxa"/>
            </w:tcMar>
            <w:vAlign w:val="center"/>
            <w:hideMark/>
          </w:tcPr>
          <w:p w14:paraId="01EFFC82" w14:textId="77777777" w:rsidR="00695CAB" w:rsidRPr="0024133B" w:rsidRDefault="00695CAB" w:rsidP="0075750D">
            <w:pPr>
              <w:widowControl/>
              <w:spacing w:before="120" w:after="120"/>
              <w:jc w:val="center"/>
              <w:rPr>
                <w:rFonts w:ascii="Times New Roman" w:hAnsi="Times New Roman"/>
                <w:kern w:val="0"/>
                <w:szCs w:val="21"/>
              </w:rPr>
            </w:pPr>
            <w:proofErr w:type="spellStart"/>
            <w:r w:rsidRPr="0024133B">
              <w:rPr>
                <w:rFonts w:ascii="Times New Roman" w:hAnsi="Times New Roman"/>
                <w:kern w:val="0"/>
                <w:szCs w:val="21"/>
              </w:rPr>
              <w:t>Haba</w:t>
            </w:r>
            <w:proofErr w:type="spellEnd"/>
            <w:r w:rsidRPr="0024133B">
              <w:rPr>
                <w:rFonts w:ascii="Times New Roman" w:hAnsi="Times New Roman"/>
                <w:kern w:val="0"/>
                <w:szCs w:val="21"/>
              </w:rPr>
              <w:t xml:space="preserve"> Lake National Nature Reserve and </w:t>
            </w:r>
            <w:proofErr w:type="spellStart"/>
            <w:r w:rsidRPr="0024133B">
              <w:rPr>
                <w:rFonts w:ascii="Times New Roman" w:hAnsi="Times New Roman"/>
                <w:kern w:val="0"/>
                <w:szCs w:val="21"/>
              </w:rPr>
              <w:t>Liupanshan</w:t>
            </w:r>
            <w:proofErr w:type="spellEnd"/>
            <w:r w:rsidRPr="0024133B">
              <w:rPr>
                <w:rFonts w:ascii="Times New Roman" w:hAnsi="Times New Roman"/>
                <w:kern w:val="0"/>
                <w:szCs w:val="21"/>
              </w:rPr>
              <w:t xml:space="preserve"> Mountain National Nature Reserve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c58bqsKt","properties":{"formattedCitation":"[81]","plainCitation":"[81]","noteIndex":0},"citationItems":[{"id":"IuHaWYsY/PNV3NUXe","uris":["http://zotero.org/users/local/nuU8Soog/items/KAWPLKQQ"],"itemData":{"id":180,"type":"article-journal","container-title":"Journal of Ecology and Rural Environment","DOI":"10.11934/j.issn.1673-4831.2016.06.005","ISSN":"1673-4831","issue":"6","journalAbbreviation":"Journal of Ecology and Rural Environment","language":"cn","page":"895-900","source":"www.ere.ac.cn","title":"Willingness of farm households in national nature reserves to participate in ecological compensation and its affecting factors","volume":"32","author":[{"family":"Wang","given":"Yichao"},{"family":"Hao","given":"Haiguang"},{"family":"Zhang","given":"Huiyuan"},{"family":"Zhai","given":"Ruixue"},{"family":"Lv","given":"Hailiang"},{"family":"Zhou","given":"Meihua"}],"issued":{"date-parts":[["2016",11,30]]}}}],"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[81]</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6EB6C484"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481 householders</w:t>
            </w:r>
          </w:p>
        </w:tc>
        <w:tc>
          <w:tcPr>
            <w:tcW w:w="332" w:type="pct"/>
            <w:shd w:val="clear" w:color="auto" w:fill="auto"/>
            <w:tcMar>
              <w:top w:w="15" w:type="dxa"/>
              <w:left w:w="15" w:type="dxa"/>
              <w:bottom w:w="0" w:type="dxa"/>
              <w:right w:w="15" w:type="dxa"/>
            </w:tcMar>
            <w:vAlign w:val="center"/>
            <w:hideMark/>
          </w:tcPr>
          <w:p w14:paraId="749DEC1F"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69784EE1"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4777040D"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3BE3394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2015</w:t>
            </w:r>
          </w:p>
        </w:tc>
        <w:tc>
          <w:tcPr>
            <w:tcW w:w="544" w:type="pct"/>
            <w:shd w:val="clear" w:color="auto" w:fill="auto"/>
            <w:tcMar>
              <w:top w:w="15" w:type="dxa"/>
              <w:left w:w="15" w:type="dxa"/>
              <w:bottom w:w="0" w:type="dxa"/>
              <w:right w:w="15" w:type="dxa"/>
            </w:tcMar>
            <w:vAlign w:val="center"/>
            <w:hideMark/>
          </w:tcPr>
          <w:p w14:paraId="1719D288"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Opportunity cost</w:t>
            </w:r>
            <w:r w:rsidRPr="0024133B">
              <w:rPr>
                <w:rFonts w:ascii="Times New Roman" w:hAnsi="Times New Roman" w:hint="eastAsia"/>
                <w:kern w:val="0"/>
                <w:szCs w:val="21"/>
              </w:rPr>
              <w:t>s</w:t>
            </w:r>
            <w:r w:rsidRPr="0024133B">
              <w:rPr>
                <w:rFonts w:ascii="Times New Roman" w:hAnsi="Times New Roman"/>
                <w:kern w:val="0"/>
                <w:szCs w:val="21"/>
              </w:rPr>
              <w:t xml:space="preserve"> for land</w:t>
            </w:r>
          </w:p>
        </w:tc>
        <w:tc>
          <w:tcPr>
            <w:tcW w:w="498" w:type="pct"/>
            <w:shd w:val="clear" w:color="auto" w:fill="auto"/>
            <w:tcMar>
              <w:top w:w="15" w:type="dxa"/>
              <w:left w:w="15" w:type="dxa"/>
              <w:bottom w:w="0" w:type="dxa"/>
              <w:right w:w="15" w:type="dxa"/>
            </w:tcMar>
            <w:vAlign w:val="center"/>
            <w:hideMark/>
          </w:tcPr>
          <w:p w14:paraId="54AE6E8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Income</w:t>
            </w:r>
          </w:p>
        </w:tc>
        <w:tc>
          <w:tcPr>
            <w:tcW w:w="443" w:type="pct"/>
            <w:shd w:val="clear" w:color="auto" w:fill="auto"/>
            <w:tcMar>
              <w:top w:w="15" w:type="dxa"/>
              <w:left w:w="15" w:type="dxa"/>
              <w:bottom w:w="0" w:type="dxa"/>
              <w:right w:w="15" w:type="dxa"/>
            </w:tcMar>
            <w:vAlign w:val="center"/>
            <w:hideMark/>
          </w:tcPr>
          <w:p w14:paraId="42D39ABF" w14:textId="77777777" w:rsidR="00695CAB" w:rsidRPr="0024133B" w:rsidRDefault="00695CAB" w:rsidP="0075750D">
            <w:pPr>
              <w:widowControl/>
              <w:spacing w:before="120" w:after="120"/>
              <w:jc w:val="center"/>
              <w:rPr>
                <w:rFonts w:ascii="Times New Roman" w:hAnsi="Times New Roman"/>
                <w:kern w:val="0"/>
                <w:szCs w:val="21"/>
              </w:rPr>
            </w:pPr>
          </w:p>
        </w:tc>
        <w:tc>
          <w:tcPr>
            <w:tcW w:w="440" w:type="pct"/>
            <w:shd w:val="clear" w:color="auto" w:fill="auto"/>
            <w:tcMar>
              <w:top w:w="15" w:type="dxa"/>
              <w:left w:w="15" w:type="dxa"/>
              <w:bottom w:w="0" w:type="dxa"/>
              <w:right w:w="15" w:type="dxa"/>
            </w:tcMar>
            <w:vAlign w:val="center"/>
            <w:hideMark/>
          </w:tcPr>
          <w:p w14:paraId="4AE45978" w14:textId="77777777" w:rsidR="00695CAB" w:rsidRPr="0024133B" w:rsidRDefault="00695CAB" w:rsidP="0075750D">
            <w:pPr>
              <w:widowControl/>
              <w:spacing w:before="120" w:after="120"/>
              <w:jc w:val="center"/>
              <w:rPr>
                <w:rFonts w:ascii="Times New Roman" w:hAnsi="Times New Roman"/>
                <w:kern w:val="0"/>
                <w:szCs w:val="21"/>
              </w:rPr>
            </w:pPr>
          </w:p>
        </w:tc>
        <w:tc>
          <w:tcPr>
            <w:tcW w:w="345" w:type="pct"/>
            <w:shd w:val="clear" w:color="auto" w:fill="auto"/>
            <w:tcMar>
              <w:top w:w="15" w:type="dxa"/>
              <w:left w:w="15" w:type="dxa"/>
              <w:bottom w:w="0" w:type="dxa"/>
              <w:right w:w="15" w:type="dxa"/>
            </w:tcMar>
            <w:vAlign w:val="center"/>
            <w:hideMark/>
          </w:tcPr>
          <w:p w14:paraId="35492065"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5956001A"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4B9063AD"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32</w:t>
            </w:r>
          </w:p>
        </w:tc>
        <w:tc>
          <w:tcPr>
            <w:tcW w:w="726" w:type="pct"/>
            <w:shd w:val="clear" w:color="auto" w:fill="auto"/>
            <w:tcMar>
              <w:top w:w="15" w:type="dxa"/>
              <w:left w:w="15" w:type="dxa"/>
              <w:bottom w:w="0" w:type="dxa"/>
              <w:right w:w="15" w:type="dxa"/>
            </w:tcMar>
            <w:vAlign w:val="center"/>
            <w:hideMark/>
          </w:tcPr>
          <w:p w14:paraId="7D4CCC98"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 xml:space="preserve">15 counties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{"citationID":"gwFSVIyg","properties":{"formattedCitation":"[82]","plainCitation":"[82]","noteIndex":0},"citationItems":[{"id":"IuHaWYsY/ifmwAhlH","uris":["http://zotero.org/users/local/nuU8Soog/items/FEXG3BQQ"],"itemData":{"id":183,"type":"report","abstract":"We use a large unique household panel data set spanning 16 years to estimate the impacts of three major Chinese forest conservation and reforestation programs on household incomes. The programs are the most significant of China’s Key Priority Forestry Programs, namely the Sloping Land Conversion Program (the SLCP), the Natural Forest Protection Program (the NFPP), and the Desertification Combating Program around Beijing and Tianjin (the DCBT). Cluster effects with county and environment factors have been estimated by using year dummy variables. Fixed model with cluster effects has been used. In addition to estimating the total impacts of the programs, individually and in combination, we disaggregate the effects by income source, stage of policy implementation, and duration of participation. We find minimal effects on total incomes from the programs overall, which are quiet different with other research empirical results, but the more detailed results show that the initial stages of the programs, and the early years of participation had negative or neutral effects on land-based incomes, while in more recent years, impacts have improved, and in some cases become positive.","event-place":"Rochester, NY","genre":"SSRN Scholarly Paper","language":"en","note":"DOI: 10.2139/ssrn.2374411","number":"ID 2374411","publisher":"Social Science Research Network","publisher-place":"Rochester, NY","source":"papers.ssrn.com","title":"Have the Key Priority Forestry Programs Really Impacted on China's Rural Household Income","URL":"https://papers.ssrn.com/abstract=2374411","author":[{"family":"Hao","given":"Liu"},{"family":"Mullan","given":"Katrina"},{"family":"Rong","given":"Qingjiao"},{"family":"Zhu","given":"Wenqing B."}],"accessed":{"date-parts":[["2020",9,24]]},"issued":{"date-parts":[["2013",8,1]]}}}],"schema":"https://github.com/citation-style-language/schema/raw/master/csl-citation.json"}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[82]</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0651E0E1"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3375 households</w:t>
            </w:r>
          </w:p>
        </w:tc>
        <w:tc>
          <w:tcPr>
            <w:tcW w:w="332" w:type="pct"/>
            <w:shd w:val="clear" w:color="auto" w:fill="auto"/>
            <w:tcMar>
              <w:top w:w="15" w:type="dxa"/>
              <w:left w:w="15" w:type="dxa"/>
              <w:bottom w:w="0" w:type="dxa"/>
              <w:right w:w="15" w:type="dxa"/>
            </w:tcMar>
            <w:vAlign w:val="center"/>
            <w:hideMark/>
          </w:tcPr>
          <w:p w14:paraId="0E2CBC62"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6543A842"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6F9ACFB4"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211F2387"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2004</w:t>
            </w:r>
          </w:p>
        </w:tc>
        <w:tc>
          <w:tcPr>
            <w:tcW w:w="544" w:type="pct"/>
            <w:shd w:val="clear" w:color="auto" w:fill="auto"/>
            <w:tcMar>
              <w:top w:w="15" w:type="dxa"/>
              <w:left w:w="15" w:type="dxa"/>
              <w:bottom w:w="0" w:type="dxa"/>
              <w:right w:w="15" w:type="dxa"/>
            </w:tcMar>
            <w:vAlign w:val="center"/>
            <w:hideMark/>
          </w:tcPr>
          <w:p w14:paraId="42A2C4B0"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Off-farm labor allocation</w:t>
            </w:r>
          </w:p>
        </w:tc>
        <w:tc>
          <w:tcPr>
            <w:tcW w:w="498" w:type="pct"/>
            <w:shd w:val="clear" w:color="auto" w:fill="auto"/>
            <w:tcMar>
              <w:top w:w="15" w:type="dxa"/>
              <w:left w:w="15" w:type="dxa"/>
              <w:bottom w:w="0" w:type="dxa"/>
              <w:right w:w="15" w:type="dxa"/>
            </w:tcMar>
            <w:vAlign w:val="center"/>
            <w:hideMark/>
          </w:tcPr>
          <w:p w14:paraId="79607B2F"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Income</w:t>
            </w:r>
          </w:p>
        </w:tc>
        <w:tc>
          <w:tcPr>
            <w:tcW w:w="443" w:type="pct"/>
            <w:shd w:val="clear" w:color="auto" w:fill="auto"/>
            <w:tcMar>
              <w:top w:w="15" w:type="dxa"/>
              <w:left w:w="15" w:type="dxa"/>
              <w:bottom w:w="0" w:type="dxa"/>
              <w:right w:w="15" w:type="dxa"/>
            </w:tcMar>
            <w:vAlign w:val="center"/>
            <w:hideMark/>
          </w:tcPr>
          <w:p w14:paraId="0562C5D2" w14:textId="77777777" w:rsidR="00695CAB" w:rsidRPr="0024133B" w:rsidRDefault="00695CAB" w:rsidP="0075750D">
            <w:pPr>
              <w:widowControl/>
              <w:spacing w:before="120" w:after="120"/>
              <w:jc w:val="center"/>
              <w:rPr>
                <w:rFonts w:ascii="Times New Roman" w:hAnsi="Times New Roman"/>
                <w:kern w:val="0"/>
                <w:szCs w:val="21"/>
              </w:rPr>
            </w:pPr>
          </w:p>
        </w:tc>
        <w:tc>
          <w:tcPr>
            <w:tcW w:w="440" w:type="pct"/>
            <w:shd w:val="clear" w:color="auto" w:fill="auto"/>
            <w:tcMar>
              <w:top w:w="15" w:type="dxa"/>
              <w:left w:w="15" w:type="dxa"/>
              <w:bottom w:w="0" w:type="dxa"/>
              <w:right w:w="15" w:type="dxa"/>
            </w:tcMar>
            <w:vAlign w:val="center"/>
            <w:hideMark/>
          </w:tcPr>
          <w:p w14:paraId="394BB3A0" w14:textId="77777777" w:rsidR="00695CAB" w:rsidRPr="0024133B" w:rsidRDefault="00695CAB" w:rsidP="0075750D">
            <w:pPr>
              <w:widowControl/>
              <w:spacing w:before="120" w:after="120"/>
              <w:jc w:val="center"/>
              <w:rPr>
                <w:rFonts w:ascii="Times New Roman" w:hAnsi="Times New Roman"/>
                <w:kern w:val="0"/>
                <w:szCs w:val="21"/>
              </w:rPr>
            </w:pPr>
          </w:p>
        </w:tc>
        <w:tc>
          <w:tcPr>
            <w:tcW w:w="345" w:type="pct"/>
            <w:shd w:val="clear" w:color="auto" w:fill="auto"/>
            <w:tcMar>
              <w:top w:w="15" w:type="dxa"/>
              <w:left w:w="15" w:type="dxa"/>
              <w:bottom w:w="0" w:type="dxa"/>
              <w:right w:w="15" w:type="dxa"/>
            </w:tcMar>
            <w:vAlign w:val="center"/>
            <w:hideMark/>
          </w:tcPr>
          <w:p w14:paraId="2836CCA8"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66A8C56C"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534ED2B1"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33</w:t>
            </w:r>
          </w:p>
        </w:tc>
        <w:tc>
          <w:tcPr>
            <w:tcW w:w="726" w:type="pct"/>
            <w:shd w:val="clear" w:color="auto" w:fill="auto"/>
            <w:tcMar>
              <w:top w:w="15" w:type="dxa"/>
              <w:left w:w="15" w:type="dxa"/>
              <w:bottom w:w="0" w:type="dxa"/>
              <w:right w:w="15" w:type="dxa"/>
            </w:tcMar>
            <w:vAlign w:val="center"/>
            <w:hideMark/>
          </w:tcPr>
          <w:p w14:paraId="11F5A3B3"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Shaanxi (</w:t>
            </w:r>
            <w:proofErr w:type="spellStart"/>
            <w:r w:rsidRPr="0024133B">
              <w:rPr>
                <w:rFonts w:ascii="Times New Roman" w:hAnsi="Times New Roman"/>
                <w:kern w:val="0"/>
                <w:szCs w:val="21"/>
              </w:rPr>
              <w:t>Yanchuan</w:t>
            </w:r>
            <w:proofErr w:type="spellEnd"/>
            <w:r w:rsidRPr="0024133B">
              <w:rPr>
                <w:rFonts w:ascii="Times New Roman" w:hAnsi="Times New Roman"/>
                <w:kern w:val="0"/>
                <w:szCs w:val="21"/>
              </w:rPr>
              <w:t xml:space="preserve">, </w:t>
            </w:r>
            <w:proofErr w:type="spellStart"/>
            <w:r w:rsidRPr="0024133B">
              <w:rPr>
                <w:rFonts w:ascii="Times New Roman" w:hAnsi="Times New Roman"/>
                <w:kern w:val="0"/>
                <w:szCs w:val="21"/>
              </w:rPr>
              <w:t>Liquan</w:t>
            </w:r>
            <w:proofErr w:type="spellEnd"/>
            <w:r w:rsidRPr="0024133B">
              <w:rPr>
                <w:rFonts w:ascii="Times New Roman" w:hAnsi="Times New Roman"/>
                <w:kern w:val="0"/>
                <w:szCs w:val="21"/>
              </w:rPr>
              <w:t>), Gansu (</w:t>
            </w:r>
            <w:proofErr w:type="spellStart"/>
            <w:r w:rsidRPr="0024133B">
              <w:rPr>
                <w:rFonts w:ascii="Times New Roman" w:hAnsi="Times New Roman"/>
                <w:kern w:val="0"/>
                <w:szCs w:val="21"/>
              </w:rPr>
              <w:t>Jingning</w:t>
            </w:r>
            <w:proofErr w:type="spellEnd"/>
            <w:r w:rsidRPr="0024133B">
              <w:rPr>
                <w:rFonts w:ascii="Times New Roman" w:hAnsi="Times New Roman"/>
                <w:kern w:val="0"/>
                <w:szCs w:val="21"/>
              </w:rPr>
              <w:t xml:space="preserve">, </w:t>
            </w:r>
            <w:proofErr w:type="spellStart"/>
            <w:r w:rsidRPr="0024133B">
              <w:rPr>
                <w:rFonts w:ascii="Times New Roman" w:hAnsi="Times New Roman"/>
                <w:kern w:val="0"/>
                <w:szCs w:val="21"/>
              </w:rPr>
              <w:t>Linxia</w:t>
            </w:r>
            <w:proofErr w:type="spellEnd"/>
            <w:r w:rsidRPr="0024133B">
              <w:rPr>
                <w:rFonts w:ascii="Times New Roman" w:hAnsi="Times New Roman"/>
                <w:kern w:val="0"/>
                <w:szCs w:val="21"/>
              </w:rPr>
              <w:t>), Sichuan (</w:t>
            </w:r>
            <w:proofErr w:type="spellStart"/>
            <w:r w:rsidRPr="0024133B">
              <w:rPr>
                <w:rFonts w:ascii="Times New Roman" w:hAnsi="Times New Roman"/>
                <w:kern w:val="0"/>
                <w:szCs w:val="21"/>
              </w:rPr>
              <w:t>Chaotian</w:t>
            </w:r>
            <w:proofErr w:type="spellEnd"/>
            <w:r w:rsidRPr="0024133B">
              <w:rPr>
                <w:rFonts w:ascii="Times New Roman" w:hAnsi="Times New Roman"/>
                <w:kern w:val="0"/>
                <w:szCs w:val="21"/>
              </w:rPr>
              <w:t xml:space="preserve">, Li)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LBuw4W2l","properties":{"formattedCitation":"[83]","plainCitation":"[83]","noteIndex":0},"citationItems":[{"id":"IuHaWYsY/aERcuyyN","uris":["http://zotero.org/users/local/nuU8Soog/items/GYN3H8UG"],"itemData":{"id":186,"type":"article-journal","container-title":"China population, Resources and environment","page":"99-102","title":"Examination of the choice cognizance for farmers in Grain for Green Project from economics perspective","volume":"15","author":[{"family":"Yang","given":"Jun"},{"family":"Mao","given":"Xuefeng"}],"issued":{"date-parts":[["2005"]]}}}],"schema":"https://github.com/citation-style-language/schema/raw/master/csl-citation.json"}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[83]</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1795C3E0"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360 households</w:t>
            </w:r>
          </w:p>
        </w:tc>
        <w:tc>
          <w:tcPr>
            <w:tcW w:w="332" w:type="pct"/>
            <w:shd w:val="clear" w:color="auto" w:fill="auto"/>
            <w:tcMar>
              <w:top w:w="15" w:type="dxa"/>
              <w:left w:w="15" w:type="dxa"/>
              <w:bottom w:w="0" w:type="dxa"/>
              <w:right w:w="15" w:type="dxa"/>
            </w:tcMar>
            <w:vAlign w:val="center"/>
            <w:hideMark/>
          </w:tcPr>
          <w:p w14:paraId="6788248A"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26.8</w:t>
            </w:r>
          </w:p>
        </w:tc>
        <w:tc>
          <w:tcPr>
            <w:tcW w:w="332" w:type="pct"/>
            <w:shd w:val="clear" w:color="auto" w:fill="auto"/>
            <w:tcMar>
              <w:top w:w="15" w:type="dxa"/>
              <w:left w:w="15" w:type="dxa"/>
              <w:bottom w:w="0" w:type="dxa"/>
              <w:right w:w="15" w:type="dxa"/>
            </w:tcMar>
            <w:vAlign w:val="center"/>
            <w:hideMark/>
          </w:tcPr>
          <w:p w14:paraId="6CEEBCDD"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1DD0585B"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5CDA6E74"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2003</w:t>
            </w:r>
          </w:p>
        </w:tc>
        <w:tc>
          <w:tcPr>
            <w:tcW w:w="544" w:type="pct"/>
            <w:shd w:val="clear" w:color="auto" w:fill="auto"/>
            <w:tcMar>
              <w:top w:w="15" w:type="dxa"/>
              <w:left w:w="15" w:type="dxa"/>
              <w:bottom w:w="0" w:type="dxa"/>
              <w:right w:w="15" w:type="dxa"/>
            </w:tcMar>
            <w:vAlign w:val="center"/>
            <w:hideMark/>
          </w:tcPr>
          <w:p w14:paraId="42CC3859"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Opportunity cost</w:t>
            </w:r>
            <w:r w:rsidRPr="0024133B">
              <w:rPr>
                <w:rFonts w:ascii="Times New Roman" w:hAnsi="Times New Roman" w:hint="eastAsia"/>
                <w:kern w:val="0"/>
                <w:szCs w:val="21"/>
              </w:rPr>
              <w:t>s</w:t>
            </w:r>
            <w:r w:rsidRPr="0024133B">
              <w:rPr>
                <w:rFonts w:ascii="Times New Roman" w:hAnsi="Times New Roman"/>
                <w:kern w:val="0"/>
                <w:szCs w:val="21"/>
              </w:rPr>
              <w:t xml:space="preserve"> for land</w:t>
            </w:r>
          </w:p>
        </w:tc>
        <w:tc>
          <w:tcPr>
            <w:tcW w:w="498" w:type="pct"/>
            <w:shd w:val="clear" w:color="auto" w:fill="auto"/>
            <w:tcMar>
              <w:top w:w="15" w:type="dxa"/>
              <w:left w:w="15" w:type="dxa"/>
              <w:bottom w:w="0" w:type="dxa"/>
              <w:right w:w="15" w:type="dxa"/>
            </w:tcMar>
            <w:vAlign w:val="center"/>
            <w:hideMark/>
          </w:tcPr>
          <w:p w14:paraId="2F9A90DD"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Forest management skills</w:t>
            </w:r>
          </w:p>
        </w:tc>
        <w:tc>
          <w:tcPr>
            <w:tcW w:w="443" w:type="pct"/>
            <w:shd w:val="clear" w:color="auto" w:fill="auto"/>
            <w:tcMar>
              <w:top w:w="15" w:type="dxa"/>
              <w:left w:w="15" w:type="dxa"/>
              <w:bottom w:w="0" w:type="dxa"/>
              <w:right w:w="15" w:type="dxa"/>
            </w:tcMar>
            <w:vAlign w:val="center"/>
            <w:hideMark/>
          </w:tcPr>
          <w:p w14:paraId="57B442A7"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Sex of householder</w:t>
            </w:r>
          </w:p>
        </w:tc>
        <w:tc>
          <w:tcPr>
            <w:tcW w:w="440" w:type="pct"/>
            <w:shd w:val="clear" w:color="auto" w:fill="auto"/>
            <w:tcMar>
              <w:top w:w="15" w:type="dxa"/>
              <w:left w:w="15" w:type="dxa"/>
              <w:bottom w:w="0" w:type="dxa"/>
              <w:right w:w="15" w:type="dxa"/>
            </w:tcMar>
            <w:vAlign w:val="center"/>
            <w:hideMark/>
          </w:tcPr>
          <w:p w14:paraId="396DEEBD"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Slope</w:t>
            </w:r>
          </w:p>
        </w:tc>
        <w:tc>
          <w:tcPr>
            <w:tcW w:w="345" w:type="pct"/>
            <w:shd w:val="clear" w:color="auto" w:fill="auto"/>
            <w:tcMar>
              <w:top w:w="15" w:type="dxa"/>
              <w:left w:w="15" w:type="dxa"/>
              <w:bottom w:w="0" w:type="dxa"/>
              <w:right w:w="15" w:type="dxa"/>
            </w:tcMar>
            <w:vAlign w:val="center"/>
            <w:hideMark/>
          </w:tcPr>
          <w:p w14:paraId="496C9BFB"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3704035C"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73AAA6E2"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34</w:t>
            </w:r>
          </w:p>
        </w:tc>
        <w:tc>
          <w:tcPr>
            <w:tcW w:w="726" w:type="pct"/>
            <w:shd w:val="clear" w:color="auto" w:fill="auto"/>
            <w:tcMar>
              <w:top w:w="15" w:type="dxa"/>
              <w:left w:w="15" w:type="dxa"/>
              <w:bottom w:w="0" w:type="dxa"/>
              <w:right w:w="15" w:type="dxa"/>
            </w:tcMar>
            <w:vAlign w:val="center"/>
            <w:hideMark/>
          </w:tcPr>
          <w:p w14:paraId="74D1267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Shaanxi (</w:t>
            </w:r>
            <w:proofErr w:type="spellStart"/>
            <w:r w:rsidRPr="0024133B">
              <w:rPr>
                <w:rFonts w:ascii="Times New Roman" w:hAnsi="Times New Roman"/>
                <w:kern w:val="0"/>
                <w:szCs w:val="21"/>
              </w:rPr>
              <w:t>Mizhi</w:t>
            </w:r>
            <w:proofErr w:type="spellEnd"/>
            <w:r w:rsidRPr="0024133B">
              <w:rPr>
                <w:rFonts w:ascii="Times New Roman" w:hAnsi="Times New Roman"/>
                <w:kern w:val="0"/>
                <w:szCs w:val="21"/>
              </w:rPr>
              <w:t xml:space="preserve">)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{"citationID":"jjmY7eaS","properties":{"formattedCitation":"[84]","plainCitation":"[84]","noteIndex":0},"citationItems":[{"id":"IuHaWYsY/WFLaO7KG","uris":["http://zotero.org/users/local/nuU8Soog/items/RTSUBGWF"],"itemData":{"id":187,"type":"article-journal","abstract":"This study elicits the risk preferences of rural households through a field experiment conducted in Shaanxi Province using the Holt-Laury mechanism that considers the effects of implementing the Sloping Land Conversion Program (SLCP) on the risk preferences of farmers. The program has significantly changed the structure of farmers’ productive property, which may further influence their risk attitudes. This study reveals that household geographic and demographic characteristics have a significant effect on the risk preferences of participants in the experiment. More importantly, the SLCP has had a significant effect on farmers’ risk preferences. Hence, when assessing the outcome of such public policies as the SLCP that may affect the future incomes of farmers, we should consider the socioeconomic characteristics of the households concerned and the public policies implemented in the targeted area in detail.","container-title":"Japan Agricultural Research Quarterly: JARQ","DOI":"10.6090/jarq.50.253","issue":"3","page":"253-265","source":"J-Stage","title":"Experimental Measure of Rural Household Risk Preference: The Case of the SLCP Area in Northern Shaanxi, China","title-short":"Experimental Measure of Rural Household Risk Preference","volume":"50","author":[{"family":"Mao","given":"Qianqian"},{"family":"Wang","given":"Wenlue"},{"family":"Oniki","given":"Shunji"},{"family":"Kagatsume","given":"Masaru"},{"family":"Yu","given":"Jin"}],"issued":{"date-parts":[["2016"]]}}}],"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[84]</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16BD482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102 households</w:t>
            </w:r>
          </w:p>
        </w:tc>
        <w:tc>
          <w:tcPr>
            <w:tcW w:w="332" w:type="pct"/>
            <w:shd w:val="clear" w:color="auto" w:fill="auto"/>
            <w:tcMar>
              <w:top w:w="15" w:type="dxa"/>
              <w:left w:w="15" w:type="dxa"/>
              <w:bottom w:w="0" w:type="dxa"/>
              <w:right w:w="15" w:type="dxa"/>
            </w:tcMar>
            <w:vAlign w:val="center"/>
            <w:hideMark/>
          </w:tcPr>
          <w:p w14:paraId="76868896"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2232E312"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153DF7B1"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05540617"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2013</w:t>
            </w:r>
          </w:p>
        </w:tc>
        <w:tc>
          <w:tcPr>
            <w:tcW w:w="544" w:type="pct"/>
            <w:shd w:val="clear" w:color="auto" w:fill="auto"/>
            <w:tcMar>
              <w:top w:w="15" w:type="dxa"/>
              <w:left w:w="15" w:type="dxa"/>
              <w:bottom w:w="0" w:type="dxa"/>
              <w:right w:w="15" w:type="dxa"/>
            </w:tcMar>
            <w:vAlign w:val="center"/>
            <w:hideMark/>
          </w:tcPr>
          <w:p w14:paraId="037A4A18"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Education level</w:t>
            </w:r>
          </w:p>
        </w:tc>
        <w:tc>
          <w:tcPr>
            <w:tcW w:w="498" w:type="pct"/>
            <w:shd w:val="clear" w:color="auto" w:fill="auto"/>
            <w:tcMar>
              <w:top w:w="15" w:type="dxa"/>
              <w:left w:w="15" w:type="dxa"/>
              <w:bottom w:w="0" w:type="dxa"/>
              <w:right w:w="15" w:type="dxa"/>
            </w:tcMar>
            <w:vAlign w:val="center"/>
            <w:hideMark/>
          </w:tcPr>
          <w:p w14:paraId="057934DE"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Distance to market</w:t>
            </w:r>
          </w:p>
        </w:tc>
        <w:tc>
          <w:tcPr>
            <w:tcW w:w="443" w:type="pct"/>
            <w:shd w:val="clear" w:color="auto" w:fill="auto"/>
            <w:tcMar>
              <w:top w:w="15" w:type="dxa"/>
              <w:left w:w="15" w:type="dxa"/>
              <w:bottom w:w="0" w:type="dxa"/>
              <w:right w:w="15" w:type="dxa"/>
            </w:tcMar>
            <w:vAlign w:val="center"/>
            <w:hideMark/>
          </w:tcPr>
          <w:p w14:paraId="15EDDA54"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Age</w:t>
            </w:r>
          </w:p>
        </w:tc>
        <w:tc>
          <w:tcPr>
            <w:tcW w:w="440" w:type="pct"/>
            <w:shd w:val="clear" w:color="auto" w:fill="auto"/>
            <w:tcMar>
              <w:top w:w="15" w:type="dxa"/>
              <w:left w:w="15" w:type="dxa"/>
              <w:bottom w:w="0" w:type="dxa"/>
              <w:right w:w="15" w:type="dxa"/>
            </w:tcMar>
            <w:vAlign w:val="center"/>
            <w:hideMark/>
          </w:tcPr>
          <w:p w14:paraId="60DD8C66" w14:textId="77777777" w:rsidR="00695CAB" w:rsidRPr="0024133B" w:rsidRDefault="00695CAB" w:rsidP="0075750D">
            <w:pPr>
              <w:widowControl/>
              <w:spacing w:before="120" w:after="120"/>
              <w:jc w:val="center"/>
              <w:rPr>
                <w:rFonts w:ascii="Times New Roman" w:hAnsi="Times New Roman"/>
                <w:kern w:val="0"/>
                <w:szCs w:val="21"/>
              </w:rPr>
            </w:pPr>
          </w:p>
        </w:tc>
        <w:tc>
          <w:tcPr>
            <w:tcW w:w="345" w:type="pct"/>
            <w:shd w:val="clear" w:color="auto" w:fill="auto"/>
            <w:tcMar>
              <w:top w:w="15" w:type="dxa"/>
              <w:left w:w="15" w:type="dxa"/>
              <w:bottom w:w="0" w:type="dxa"/>
              <w:right w:w="15" w:type="dxa"/>
            </w:tcMar>
            <w:vAlign w:val="center"/>
            <w:hideMark/>
          </w:tcPr>
          <w:p w14:paraId="2E6014A0"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2EB75174" w14:textId="77777777" w:rsidTr="0075750D">
        <w:trPr>
          <w:trHeight w:val="65"/>
          <w:jc w:val="center"/>
        </w:trPr>
        <w:tc>
          <w:tcPr>
            <w:tcW w:w="166" w:type="pct"/>
            <w:shd w:val="clear" w:color="auto" w:fill="auto"/>
            <w:tcMar>
              <w:top w:w="15" w:type="dxa"/>
              <w:left w:w="15" w:type="dxa"/>
              <w:bottom w:w="0" w:type="dxa"/>
              <w:right w:w="15" w:type="dxa"/>
            </w:tcMar>
            <w:vAlign w:val="center"/>
            <w:hideMark/>
          </w:tcPr>
          <w:p w14:paraId="3001B3F8"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lastRenderedPageBreak/>
              <w:t>35</w:t>
            </w:r>
          </w:p>
        </w:tc>
        <w:tc>
          <w:tcPr>
            <w:tcW w:w="726" w:type="pct"/>
            <w:shd w:val="clear" w:color="auto" w:fill="auto"/>
            <w:tcMar>
              <w:top w:w="15" w:type="dxa"/>
              <w:left w:w="15" w:type="dxa"/>
              <w:bottom w:w="0" w:type="dxa"/>
              <w:right w:w="15" w:type="dxa"/>
            </w:tcMar>
            <w:vAlign w:val="center"/>
            <w:hideMark/>
          </w:tcPr>
          <w:p w14:paraId="4C61F8E0"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 xml:space="preserve">17 provinces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xOOW8HWI","properties":{"formattedCitation":"[85]","plainCitation":"[85]","noteIndex":0},"citationItems":[{"id":"IuHaWYsY/xM0pGCnC","uris":["http://zotero.org/users/local/nuU8Soog/items/CPYBP57M"],"itemData":{"id":190,"type":"article-journal","container-title":"Resources Science","page":"2013-2023","title":"Comparative analysis of regional factors influencing land reconversion possibility in returning farmland to forest and grassland project areas in China","volume":"38","author":[{"family":"Chen","given":"Ru"},{"family":"Deng","given":"Rui"},{"family":"Jiang","given":"Zhide"},{"family":"Xie","given":"Chen"}],"issued":{"date-parts":[["2016"]]}}}],"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[85]</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659583A9"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1757</w:t>
            </w:r>
          </w:p>
          <w:p w14:paraId="33E8E5E1"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households</w:t>
            </w:r>
          </w:p>
        </w:tc>
        <w:tc>
          <w:tcPr>
            <w:tcW w:w="332" w:type="pct"/>
            <w:shd w:val="clear" w:color="auto" w:fill="auto"/>
            <w:tcMar>
              <w:top w:w="15" w:type="dxa"/>
              <w:left w:w="15" w:type="dxa"/>
              <w:bottom w:w="0" w:type="dxa"/>
              <w:right w:w="15" w:type="dxa"/>
            </w:tcMar>
            <w:vAlign w:val="center"/>
            <w:hideMark/>
          </w:tcPr>
          <w:p w14:paraId="08C7A968"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22.01</w:t>
            </w:r>
          </w:p>
        </w:tc>
        <w:tc>
          <w:tcPr>
            <w:tcW w:w="332" w:type="pct"/>
            <w:shd w:val="clear" w:color="auto" w:fill="auto"/>
            <w:tcMar>
              <w:top w:w="15" w:type="dxa"/>
              <w:left w:w="15" w:type="dxa"/>
              <w:bottom w:w="0" w:type="dxa"/>
              <w:right w:w="15" w:type="dxa"/>
            </w:tcMar>
            <w:vAlign w:val="center"/>
            <w:hideMark/>
          </w:tcPr>
          <w:p w14:paraId="6EBAA4E3"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09549BD1"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0DEA6471"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2012</w:t>
            </w:r>
          </w:p>
        </w:tc>
        <w:tc>
          <w:tcPr>
            <w:tcW w:w="544" w:type="pct"/>
            <w:shd w:val="clear" w:color="auto" w:fill="auto"/>
            <w:tcMar>
              <w:top w:w="15" w:type="dxa"/>
              <w:left w:w="15" w:type="dxa"/>
              <w:bottom w:w="0" w:type="dxa"/>
              <w:right w:w="15" w:type="dxa"/>
            </w:tcMar>
            <w:vAlign w:val="center"/>
            <w:hideMark/>
          </w:tcPr>
          <w:p w14:paraId="741BE969"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Age</w:t>
            </w:r>
          </w:p>
        </w:tc>
        <w:tc>
          <w:tcPr>
            <w:tcW w:w="498" w:type="pct"/>
            <w:shd w:val="clear" w:color="auto" w:fill="auto"/>
            <w:tcMar>
              <w:top w:w="15" w:type="dxa"/>
              <w:left w:w="15" w:type="dxa"/>
              <w:bottom w:w="0" w:type="dxa"/>
              <w:right w:w="15" w:type="dxa"/>
            </w:tcMar>
            <w:vAlign w:val="center"/>
            <w:hideMark/>
          </w:tcPr>
          <w:p w14:paraId="6DD66158"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Opportunity cost</w:t>
            </w:r>
            <w:r w:rsidRPr="0024133B">
              <w:rPr>
                <w:rFonts w:ascii="Times New Roman" w:hAnsi="Times New Roman" w:hint="eastAsia"/>
                <w:kern w:val="0"/>
                <w:szCs w:val="21"/>
              </w:rPr>
              <w:t>s</w:t>
            </w:r>
            <w:r w:rsidRPr="0024133B">
              <w:rPr>
                <w:rFonts w:ascii="Times New Roman" w:hAnsi="Times New Roman"/>
                <w:kern w:val="0"/>
                <w:szCs w:val="21"/>
              </w:rPr>
              <w:t xml:space="preserve"> for land</w:t>
            </w:r>
          </w:p>
        </w:tc>
        <w:tc>
          <w:tcPr>
            <w:tcW w:w="443" w:type="pct"/>
            <w:shd w:val="clear" w:color="auto" w:fill="auto"/>
            <w:tcMar>
              <w:top w:w="15" w:type="dxa"/>
              <w:left w:w="15" w:type="dxa"/>
              <w:bottom w:w="0" w:type="dxa"/>
              <w:right w:w="15" w:type="dxa"/>
            </w:tcMar>
            <w:vAlign w:val="center"/>
            <w:hideMark/>
          </w:tcPr>
          <w:p w14:paraId="54616514"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Arable land area</w:t>
            </w:r>
          </w:p>
        </w:tc>
        <w:tc>
          <w:tcPr>
            <w:tcW w:w="440" w:type="pct"/>
            <w:shd w:val="clear" w:color="auto" w:fill="auto"/>
            <w:tcMar>
              <w:top w:w="15" w:type="dxa"/>
              <w:left w:w="15" w:type="dxa"/>
              <w:bottom w:w="0" w:type="dxa"/>
              <w:right w:w="15" w:type="dxa"/>
            </w:tcMar>
            <w:vAlign w:val="center"/>
            <w:hideMark/>
          </w:tcPr>
          <w:p w14:paraId="376F90B3"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Financial incentive</w:t>
            </w:r>
          </w:p>
        </w:tc>
        <w:tc>
          <w:tcPr>
            <w:tcW w:w="345" w:type="pct"/>
            <w:shd w:val="clear" w:color="auto" w:fill="auto"/>
            <w:tcMar>
              <w:top w:w="15" w:type="dxa"/>
              <w:left w:w="15" w:type="dxa"/>
              <w:bottom w:w="0" w:type="dxa"/>
              <w:right w:w="15" w:type="dxa"/>
            </w:tcMar>
            <w:vAlign w:val="center"/>
            <w:hideMark/>
          </w:tcPr>
          <w:p w14:paraId="4E0EF419"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Sex</w:t>
            </w:r>
          </w:p>
        </w:tc>
      </w:tr>
      <w:tr w:rsidR="00695CAB" w:rsidRPr="0024133B" w14:paraId="6C9DCF26"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49BC97F8"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36</w:t>
            </w:r>
          </w:p>
        </w:tc>
        <w:tc>
          <w:tcPr>
            <w:tcW w:w="726" w:type="pct"/>
            <w:shd w:val="clear" w:color="auto" w:fill="auto"/>
            <w:tcMar>
              <w:top w:w="15" w:type="dxa"/>
              <w:left w:w="15" w:type="dxa"/>
              <w:bottom w:w="0" w:type="dxa"/>
              <w:right w:w="15" w:type="dxa"/>
            </w:tcMar>
            <w:vAlign w:val="center"/>
            <w:hideMark/>
          </w:tcPr>
          <w:p w14:paraId="631EF436"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Chongqing (</w:t>
            </w:r>
            <w:proofErr w:type="spellStart"/>
            <w:r w:rsidRPr="0024133B">
              <w:rPr>
                <w:rFonts w:ascii="Times New Roman" w:hAnsi="Times New Roman"/>
                <w:kern w:val="0"/>
                <w:szCs w:val="21"/>
              </w:rPr>
              <w:t>Wanzhou</w:t>
            </w:r>
            <w:proofErr w:type="spellEnd"/>
            <w:r w:rsidRPr="0024133B">
              <w:rPr>
                <w:rFonts w:ascii="Times New Roman" w:hAnsi="Times New Roman"/>
                <w:kern w:val="0"/>
                <w:szCs w:val="21"/>
              </w:rPr>
              <w:t xml:space="preserve">)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qOWN1Bi9","properties":{"formattedCitation":"[86]","plainCitation":"[86]","noteIndex":0},"citationItems":[{"id":"IuHaWYsY/GDD9tEiI","uris":["http://zotero.org/users/local/nuU8Soog/items/TLK6MWPW"],"itemData":{"id":191,"type":"article-journal","container-title":"Journal of arid land resources and environment","page":"65-70","title":"Farmers’ willingness to accept for maintaining the Grain for Green: An empirical analysis based on Wanzhou district in Chongqing","volume":"29","author":[{"family":"Yu","given":"Yonghong"}],"issued":{"date-parts":[["2015"]]}}}],"schema":"https://github.com/citation-style-language/schema/raw/master/csl-citation.json"}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[86]</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358BA3C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197 households</w:t>
            </w:r>
          </w:p>
        </w:tc>
        <w:tc>
          <w:tcPr>
            <w:tcW w:w="332" w:type="pct"/>
            <w:shd w:val="clear" w:color="auto" w:fill="auto"/>
            <w:tcMar>
              <w:top w:w="15" w:type="dxa"/>
              <w:left w:w="15" w:type="dxa"/>
              <w:bottom w:w="0" w:type="dxa"/>
              <w:right w:w="15" w:type="dxa"/>
            </w:tcMar>
            <w:vAlign w:val="center"/>
            <w:hideMark/>
          </w:tcPr>
          <w:p w14:paraId="49168279"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16.03</w:t>
            </w:r>
          </w:p>
        </w:tc>
        <w:tc>
          <w:tcPr>
            <w:tcW w:w="332" w:type="pct"/>
            <w:shd w:val="clear" w:color="auto" w:fill="auto"/>
            <w:tcMar>
              <w:top w:w="15" w:type="dxa"/>
              <w:left w:w="15" w:type="dxa"/>
              <w:bottom w:w="0" w:type="dxa"/>
              <w:right w:w="15" w:type="dxa"/>
            </w:tcMar>
            <w:vAlign w:val="center"/>
            <w:hideMark/>
          </w:tcPr>
          <w:p w14:paraId="7F9847DA"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45.02</w:t>
            </w:r>
          </w:p>
        </w:tc>
        <w:tc>
          <w:tcPr>
            <w:tcW w:w="332" w:type="pct"/>
            <w:shd w:val="clear" w:color="auto" w:fill="auto"/>
            <w:tcMar>
              <w:top w:w="15" w:type="dxa"/>
              <w:left w:w="15" w:type="dxa"/>
              <w:bottom w:w="0" w:type="dxa"/>
              <w:right w:w="15" w:type="dxa"/>
            </w:tcMar>
            <w:vAlign w:val="center"/>
            <w:hideMark/>
          </w:tcPr>
          <w:p w14:paraId="1009659E"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38.95</w:t>
            </w:r>
          </w:p>
        </w:tc>
        <w:tc>
          <w:tcPr>
            <w:tcW w:w="343" w:type="pct"/>
            <w:shd w:val="clear" w:color="auto" w:fill="auto"/>
            <w:tcMar>
              <w:top w:w="15" w:type="dxa"/>
              <w:left w:w="15" w:type="dxa"/>
              <w:bottom w:w="0" w:type="dxa"/>
              <w:right w:w="15" w:type="dxa"/>
            </w:tcMar>
            <w:vAlign w:val="center"/>
            <w:hideMark/>
          </w:tcPr>
          <w:p w14:paraId="538C15C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2012</w:t>
            </w:r>
          </w:p>
        </w:tc>
        <w:tc>
          <w:tcPr>
            <w:tcW w:w="544" w:type="pct"/>
            <w:shd w:val="clear" w:color="auto" w:fill="auto"/>
            <w:tcMar>
              <w:top w:w="15" w:type="dxa"/>
              <w:left w:w="15" w:type="dxa"/>
              <w:bottom w:w="0" w:type="dxa"/>
              <w:right w:w="15" w:type="dxa"/>
            </w:tcMar>
            <w:vAlign w:val="center"/>
            <w:hideMark/>
          </w:tcPr>
          <w:p w14:paraId="402C0952"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Education level</w:t>
            </w:r>
          </w:p>
        </w:tc>
        <w:tc>
          <w:tcPr>
            <w:tcW w:w="498" w:type="pct"/>
            <w:shd w:val="clear" w:color="auto" w:fill="auto"/>
            <w:tcMar>
              <w:top w:w="15" w:type="dxa"/>
              <w:left w:w="15" w:type="dxa"/>
              <w:bottom w:w="0" w:type="dxa"/>
              <w:right w:w="15" w:type="dxa"/>
            </w:tcMar>
            <w:vAlign w:val="center"/>
            <w:hideMark/>
          </w:tcPr>
          <w:p w14:paraId="746E780F"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Household labor endowments</w:t>
            </w:r>
          </w:p>
        </w:tc>
        <w:tc>
          <w:tcPr>
            <w:tcW w:w="443" w:type="pct"/>
            <w:shd w:val="clear" w:color="auto" w:fill="auto"/>
            <w:tcMar>
              <w:top w:w="15" w:type="dxa"/>
              <w:left w:w="15" w:type="dxa"/>
              <w:bottom w:w="0" w:type="dxa"/>
              <w:right w:w="15" w:type="dxa"/>
            </w:tcMar>
            <w:vAlign w:val="center"/>
            <w:hideMark/>
          </w:tcPr>
          <w:p w14:paraId="4D00DF8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Income</w:t>
            </w:r>
          </w:p>
        </w:tc>
        <w:tc>
          <w:tcPr>
            <w:tcW w:w="440" w:type="pct"/>
            <w:shd w:val="clear" w:color="auto" w:fill="auto"/>
            <w:tcMar>
              <w:top w:w="15" w:type="dxa"/>
              <w:left w:w="15" w:type="dxa"/>
              <w:bottom w:w="0" w:type="dxa"/>
              <w:right w:w="15" w:type="dxa"/>
            </w:tcMar>
            <w:vAlign w:val="center"/>
            <w:hideMark/>
          </w:tcPr>
          <w:p w14:paraId="358BC5C3" w14:textId="77777777" w:rsidR="00695CAB" w:rsidRPr="0024133B" w:rsidRDefault="00695CAB" w:rsidP="0075750D">
            <w:pPr>
              <w:widowControl/>
              <w:spacing w:before="120" w:after="120"/>
              <w:jc w:val="center"/>
              <w:rPr>
                <w:rFonts w:ascii="Times New Roman" w:hAnsi="Times New Roman"/>
                <w:kern w:val="0"/>
                <w:szCs w:val="21"/>
              </w:rPr>
            </w:pPr>
          </w:p>
        </w:tc>
        <w:tc>
          <w:tcPr>
            <w:tcW w:w="345" w:type="pct"/>
            <w:shd w:val="clear" w:color="auto" w:fill="auto"/>
            <w:tcMar>
              <w:top w:w="15" w:type="dxa"/>
              <w:left w:w="15" w:type="dxa"/>
              <w:bottom w:w="0" w:type="dxa"/>
              <w:right w:w="15" w:type="dxa"/>
            </w:tcMar>
            <w:vAlign w:val="center"/>
            <w:hideMark/>
          </w:tcPr>
          <w:p w14:paraId="4E2E9884"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15FEAF33"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7D20E4C7"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37</w:t>
            </w:r>
          </w:p>
        </w:tc>
        <w:tc>
          <w:tcPr>
            <w:tcW w:w="726" w:type="pct"/>
            <w:shd w:val="clear" w:color="auto" w:fill="auto"/>
            <w:tcMar>
              <w:top w:w="15" w:type="dxa"/>
              <w:left w:w="15" w:type="dxa"/>
              <w:bottom w:w="0" w:type="dxa"/>
              <w:right w:w="15" w:type="dxa"/>
            </w:tcMar>
            <w:vAlign w:val="center"/>
            <w:hideMark/>
          </w:tcPr>
          <w:p w14:paraId="71F5AFC9"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 xml:space="preserve">Nine provinces (Chongqing, Yunnan, Guizhou, Sichuan, Hubei, Gansu, Shaanxi, Hebei, Inner Mongolia)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zy1cDy2k","properties":{"formattedCitation":"[87]","plainCitation":"[87]","noteIndex":0},"citationItems":[{"id":"IuHaWYsY/dwEXb7S6","uris":["http://zotero.org/users/local/nuU8Soog/items/PZ6JV6XJ"],"itemData":{"id":192,"type":"article-journal","container-title":"Economic geography (in Chinese)","page":"131-138","title":"Factors influencing farmers willingness to participate in Grain for Green Project in the Post-program era","volume":"34","author":[{"family":"Liu","given":"Yan"},{"family":"Dong","given":"Yao"}],"issued":{"date-parts":[["2014"]]}}}],"schema":"https://github.com/citation-style-language/schema/raw/master/csl-citation.json"}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[87]</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796597D8"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388 households</w:t>
            </w:r>
          </w:p>
        </w:tc>
        <w:tc>
          <w:tcPr>
            <w:tcW w:w="332" w:type="pct"/>
            <w:shd w:val="clear" w:color="auto" w:fill="auto"/>
            <w:tcMar>
              <w:top w:w="15" w:type="dxa"/>
              <w:left w:w="15" w:type="dxa"/>
              <w:bottom w:w="0" w:type="dxa"/>
              <w:right w:w="15" w:type="dxa"/>
            </w:tcMar>
            <w:vAlign w:val="center"/>
            <w:hideMark/>
          </w:tcPr>
          <w:p w14:paraId="497F33FA"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2FF9D710"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1EBC411A"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371A5671"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2012</w:t>
            </w:r>
          </w:p>
        </w:tc>
        <w:tc>
          <w:tcPr>
            <w:tcW w:w="544" w:type="pct"/>
            <w:shd w:val="clear" w:color="auto" w:fill="auto"/>
            <w:tcMar>
              <w:top w:w="15" w:type="dxa"/>
              <w:left w:w="15" w:type="dxa"/>
              <w:bottom w:w="0" w:type="dxa"/>
              <w:right w:w="15" w:type="dxa"/>
            </w:tcMar>
            <w:vAlign w:val="center"/>
            <w:hideMark/>
          </w:tcPr>
          <w:p w14:paraId="0872F848"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Property security</w:t>
            </w:r>
          </w:p>
        </w:tc>
        <w:tc>
          <w:tcPr>
            <w:tcW w:w="498" w:type="pct"/>
            <w:shd w:val="clear" w:color="auto" w:fill="auto"/>
            <w:tcMar>
              <w:top w:w="15" w:type="dxa"/>
              <w:left w:w="15" w:type="dxa"/>
              <w:bottom w:w="0" w:type="dxa"/>
              <w:right w:w="15" w:type="dxa"/>
            </w:tcMar>
            <w:vAlign w:val="center"/>
            <w:hideMark/>
          </w:tcPr>
          <w:p w14:paraId="3DABA3B8"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Financial incentive</w:t>
            </w:r>
          </w:p>
        </w:tc>
        <w:tc>
          <w:tcPr>
            <w:tcW w:w="443" w:type="pct"/>
            <w:shd w:val="clear" w:color="auto" w:fill="auto"/>
            <w:tcMar>
              <w:top w:w="15" w:type="dxa"/>
              <w:left w:w="15" w:type="dxa"/>
              <w:bottom w:w="0" w:type="dxa"/>
              <w:right w:w="15" w:type="dxa"/>
            </w:tcMar>
            <w:vAlign w:val="center"/>
            <w:hideMark/>
          </w:tcPr>
          <w:p w14:paraId="7CB4A13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Forest management skills</w:t>
            </w:r>
          </w:p>
        </w:tc>
        <w:tc>
          <w:tcPr>
            <w:tcW w:w="440" w:type="pct"/>
            <w:shd w:val="clear" w:color="auto" w:fill="auto"/>
            <w:tcMar>
              <w:top w:w="15" w:type="dxa"/>
              <w:left w:w="15" w:type="dxa"/>
              <w:bottom w:w="0" w:type="dxa"/>
              <w:right w:w="15" w:type="dxa"/>
            </w:tcMar>
            <w:vAlign w:val="center"/>
            <w:hideMark/>
          </w:tcPr>
          <w:p w14:paraId="38996684"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Household labor endowments</w:t>
            </w:r>
          </w:p>
        </w:tc>
        <w:tc>
          <w:tcPr>
            <w:tcW w:w="345" w:type="pct"/>
            <w:shd w:val="clear" w:color="auto" w:fill="auto"/>
            <w:tcMar>
              <w:top w:w="15" w:type="dxa"/>
              <w:left w:w="15" w:type="dxa"/>
              <w:bottom w:w="0" w:type="dxa"/>
              <w:right w:w="15" w:type="dxa"/>
            </w:tcMar>
            <w:vAlign w:val="center"/>
            <w:hideMark/>
          </w:tcPr>
          <w:p w14:paraId="6FFE9DF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Off-farm labor allocation</w:t>
            </w:r>
          </w:p>
        </w:tc>
      </w:tr>
      <w:tr w:rsidR="00695CAB" w:rsidRPr="0024133B" w14:paraId="0AC5CFAE"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66940048"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38</w:t>
            </w:r>
          </w:p>
        </w:tc>
        <w:tc>
          <w:tcPr>
            <w:tcW w:w="726" w:type="pct"/>
            <w:shd w:val="clear" w:color="auto" w:fill="auto"/>
            <w:tcMar>
              <w:top w:w="15" w:type="dxa"/>
              <w:left w:w="15" w:type="dxa"/>
              <w:bottom w:w="0" w:type="dxa"/>
              <w:right w:w="15" w:type="dxa"/>
            </w:tcMar>
            <w:vAlign w:val="center"/>
            <w:hideMark/>
          </w:tcPr>
          <w:p w14:paraId="56DBB24E"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 xml:space="preserve">Hubei, Chongqing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{"citationID":"95tphYZl","properties":{"formattedCitation":"[88]","plainCitation":"[88]","noteIndex":0},"citationItems":[{"id":"IuHaWYsY/thrZSwgE","uris":["http://zotero.org/users/local/nuU8Soog/items/IQ5HTVHL"],"itemData":{"id":193,"type":"article-journal","abstract":"The policy implications for success in the next-stage Grain-for-Green Project (GFGP) in China are analyzed from the perspectives of farmers’ willingness. The ecological protection belt of the Three Gorges Reservoir Area was chosen as the case study area, where 1207 valid questionnaire surveys based on participatory rural appraisal were collected in 2012. Our study found that farmers with lower levels of education, older age, and higher livelihood dependency on farmland were more prone to reclamation if the compensation ended. Females and non-migrants were more reluctant to participate in the next GFGP than others. Nevertheless, traditional farming was no longer a preferred livelihood by all respondents. The majority of respondents (74.4 %) wished to be liberated from the low-income farmland work through the next GFGP, and half of them (50.6 %) hoped to get non-cash compensation. The Willingness to Accept (WTA) values of the next GFGP showed significant social heterogeneity and regional difference, with an average of annual RMB¥16,665 ha−1, about 4.5 times the local compensation standard in 2000. By revealing some limitations of the uniform nationwide compensation standard system and the single payment form in adapting to evolving socioeconomic conditions, our study highlighted the importance of developing a region-based compensation standard system, integrating the next GFGP into regional sustainable development organically by more comprehensive alternative policy, and bonding a vertical partnership between the local community and the nation. Our study revealed some key elements for success in the future design of restoration projects in China.","container-title":"Environmental Management","DOI":"10.1007/s00267-015-0505-1","ISSN":"1432-1009","issue":"2","journalAbbreviation":"Environmental Management","language":"en","page":"505-518","source":"Springer Link","title":"Farmers’ Willingness to Participate in the Next-Stage Grain-for-Green Project in the Three Gorges Reservoir Area, China","volume":"56","author":[{"family":"Feng","given":"Lin"},{"family":"Xu","given":"Jianying"}],"issued":{"date-parts":[["2015",8,1]]}}}],"schema":"https://github.com/citation-style-language/schema/raw/master/csl-citation.json"}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[88]</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4554469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1 207 households</w:t>
            </w:r>
          </w:p>
        </w:tc>
        <w:tc>
          <w:tcPr>
            <w:tcW w:w="332" w:type="pct"/>
            <w:shd w:val="clear" w:color="auto" w:fill="auto"/>
            <w:tcMar>
              <w:top w:w="15" w:type="dxa"/>
              <w:left w:w="15" w:type="dxa"/>
              <w:bottom w:w="0" w:type="dxa"/>
              <w:right w:w="15" w:type="dxa"/>
            </w:tcMar>
            <w:vAlign w:val="center"/>
            <w:hideMark/>
          </w:tcPr>
          <w:p w14:paraId="4D259434"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32.1</w:t>
            </w:r>
          </w:p>
        </w:tc>
        <w:tc>
          <w:tcPr>
            <w:tcW w:w="332" w:type="pct"/>
            <w:shd w:val="clear" w:color="auto" w:fill="auto"/>
            <w:tcMar>
              <w:top w:w="15" w:type="dxa"/>
              <w:left w:w="15" w:type="dxa"/>
              <w:bottom w:w="0" w:type="dxa"/>
              <w:right w:w="15" w:type="dxa"/>
            </w:tcMar>
            <w:vAlign w:val="center"/>
            <w:hideMark/>
          </w:tcPr>
          <w:p w14:paraId="35B37E4F"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28.6</w:t>
            </w:r>
          </w:p>
        </w:tc>
        <w:tc>
          <w:tcPr>
            <w:tcW w:w="332" w:type="pct"/>
            <w:shd w:val="clear" w:color="auto" w:fill="auto"/>
            <w:tcMar>
              <w:top w:w="15" w:type="dxa"/>
              <w:left w:w="15" w:type="dxa"/>
              <w:bottom w:w="0" w:type="dxa"/>
              <w:right w:w="15" w:type="dxa"/>
            </w:tcMar>
            <w:vAlign w:val="center"/>
            <w:hideMark/>
          </w:tcPr>
          <w:p w14:paraId="42017A5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39.3</w:t>
            </w:r>
          </w:p>
        </w:tc>
        <w:tc>
          <w:tcPr>
            <w:tcW w:w="343" w:type="pct"/>
            <w:shd w:val="clear" w:color="auto" w:fill="auto"/>
            <w:tcMar>
              <w:top w:w="15" w:type="dxa"/>
              <w:left w:w="15" w:type="dxa"/>
              <w:bottom w:w="0" w:type="dxa"/>
              <w:right w:w="15" w:type="dxa"/>
            </w:tcMar>
            <w:vAlign w:val="center"/>
            <w:hideMark/>
          </w:tcPr>
          <w:p w14:paraId="4DBFF73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2012</w:t>
            </w:r>
          </w:p>
        </w:tc>
        <w:tc>
          <w:tcPr>
            <w:tcW w:w="544" w:type="pct"/>
            <w:shd w:val="clear" w:color="auto" w:fill="auto"/>
            <w:tcMar>
              <w:top w:w="15" w:type="dxa"/>
              <w:left w:w="15" w:type="dxa"/>
              <w:bottom w:w="0" w:type="dxa"/>
              <w:right w:w="15" w:type="dxa"/>
            </w:tcMar>
            <w:vAlign w:val="center"/>
            <w:hideMark/>
          </w:tcPr>
          <w:p w14:paraId="587B99A6"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Age</w:t>
            </w:r>
          </w:p>
        </w:tc>
        <w:tc>
          <w:tcPr>
            <w:tcW w:w="498" w:type="pct"/>
            <w:shd w:val="clear" w:color="auto" w:fill="auto"/>
            <w:tcMar>
              <w:top w:w="15" w:type="dxa"/>
              <w:left w:w="15" w:type="dxa"/>
              <w:bottom w:w="0" w:type="dxa"/>
              <w:right w:w="15" w:type="dxa"/>
            </w:tcMar>
            <w:vAlign w:val="center"/>
            <w:hideMark/>
          </w:tcPr>
          <w:p w14:paraId="18C256A4"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Education level</w:t>
            </w:r>
          </w:p>
        </w:tc>
        <w:tc>
          <w:tcPr>
            <w:tcW w:w="443" w:type="pct"/>
            <w:shd w:val="clear" w:color="auto" w:fill="auto"/>
            <w:tcMar>
              <w:top w:w="15" w:type="dxa"/>
              <w:left w:w="15" w:type="dxa"/>
              <w:bottom w:w="0" w:type="dxa"/>
              <w:right w:w="15" w:type="dxa"/>
            </w:tcMar>
            <w:vAlign w:val="center"/>
            <w:hideMark/>
          </w:tcPr>
          <w:p w14:paraId="7282832E"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Off-farm labor allocation</w:t>
            </w:r>
          </w:p>
        </w:tc>
        <w:tc>
          <w:tcPr>
            <w:tcW w:w="440" w:type="pct"/>
            <w:shd w:val="clear" w:color="auto" w:fill="auto"/>
            <w:tcMar>
              <w:top w:w="15" w:type="dxa"/>
              <w:left w:w="15" w:type="dxa"/>
              <w:bottom w:w="0" w:type="dxa"/>
              <w:right w:w="15" w:type="dxa"/>
            </w:tcMar>
            <w:vAlign w:val="center"/>
            <w:hideMark/>
          </w:tcPr>
          <w:p w14:paraId="13EF5EFE"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Sex</w:t>
            </w:r>
          </w:p>
        </w:tc>
        <w:tc>
          <w:tcPr>
            <w:tcW w:w="345" w:type="pct"/>
            <w:shd w:val="clear" w:color="auto" w:fill="auto"/>
            <w:tcMar>
              <w:top w:w="15" w:type="dxa"/>
              <w:left w:w="15" w:type="dxa"/>
              <w:bottom w:w="0" w:type="dxa"/>
              <w:right w:w="15" w:type="dxa"/>
            </w:tcMar>
            <w:vAlign w:val="center"/>
            <w:hideMark/>
          </w:tcPr>
          <w:p w14:paraId="611C03AC"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10E6283B" w14:textId="77777777" w:rsidTr="0075750D">
        <w:trPr>
          <w:trHeight w:val="211"/>
          <w:jc w:val="center"/>
        </w:trPr>
        <w:tc>
          <w:tcPr>
            <w:tcW w:w="166" w:type="pct"/>
            <w:shd w:val="clear" w:color="auto" w:fill="auto"/>
            <w:tcMar>
              <w:top w:w="15" w:type="dxa"/>
              <w:left w:w="15" w:type="dxa"/>
              <w:bottom w:w="0" w:type="dxa"/>
              <w:right w:w="15" w:type="dxa"/>
            </w:tcMar>
            <w:vAlign w:val="center"/>
            <w:hideMark/>
          </w:tcPr>
          <w:p w14:paraId="61BCF2C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39</w:t>
            </w:r>
          </w:p>
        </w:tc>
        <w:tc>
          <w:tcPr>
            <w:tcW w:w="726" w:type="pct"/>
            <w:shd w:val="clear" w:color="auto" w:fill="auto"/>
            <w:tcMar>
              <w:top w:w="15" w:type="dxa"/>
              <w:left w:w="15" w:type="dxa"/>
              <w:bottom w:w="0" w:type="dxa"/>
              <w:right w:w="15" w:type="dxa"/>
            </w:tcMar>
            <w:vAlign w:val="center"/>
            <w:hideMark/>
          </w:tcPr>
          <w:p w14:paraId="28BB3282"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Yunnan (</w:t>
            </w:r>
            <w:proofErr w:type="spellStart"/>
            <w:r w:rsidRPr="0024133B">
              <w:rPr>
                <w:rFonts w:ascii="Times New Roman" w:hAnsi="Times New Roman"/>
                <w:kern w:val="0"/>
                <w:szCs w:val="21"/>
              </w:rPr>
              <w:t>Baoshan</w:t>
            </w:r>
            <w:proofErr w:type="spellEnd"/>
            <w:r w:rsidRPr="0024133B">
              <w:rPr>
                <w:rFonts w:ascii="Times New Roman" w:hAnsi="Times New Roman"/>
                <w:kern w:val="0"/>
                <w:szCs w:val="21"/>
              </w:rPr>
              <w:t xml:space="preserve">, Lijiang)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{"citationID":"ZrewiAUA","properties":{"formattedCitation":"[49]","plainCitation":"[49]","noteIndex":0},"citationItems":[{"id":"IuHaWYsY/zoXjVCXx","uris":["http://zotero.org/users/local/nuU8Soog/items/MHYRYRS3"],"itemData":{"id":105,"type":"article-journal","abstract":"We present an integrated modeling framework for simulating land-use decision making under the influence of payments for ecosystem services. The model combines agent-based modeling (ABM) with Bayesian belief networks (BBNs) and opinion dynamics models (ODM). The model endows agents with the ability to make land-use decisions at the household and plot levels. The decision-making process is captured with the BBNs that were constructed and calibrated with both qualitative and quantitative information, i.e., knowledge gained from group discussions with stakeholders and empirical survey data. To represent interpersonal interactions within social networks, the decision process is further modulated by the opinion dynamics model. The goals of the model are to improve the ability of ABM to emulate land-use decision making and thus provide a better understanding of the potential impacts of payments for ecosystem services on land use and household livelihoods. Our approach provides three important innovations. First, decision making is represented in a causal directed graph. Second, the model provides a natural framework for combining knowledge from experts and stakeholders with quantitative data. Third, the modular architecture and the software implementation can be customized with modest efforts. The model is therefore a flexible, general platform that can be tailored to other studies by mounting the appropriate case-specific “brain” into the agents. The model was calibrated for the Sloping Land Conversion Program (SLCP) in Yunnan, China using data from participatory mapping, focus group interviews, and a survey of 509 farm households in 17 villages.","collection-title":"Thematic Issue on Spatial Agent-Based Models for Socio-Ecological Systems","container-title":"Environmental Modelling &amp; Software","DOI":"10.1016/j.envsoft.2012.06.007","ISSN":"1364-8152","journalAbbreviation":"Environmental Modelling &amp; Software","language":"en","page":"15-28","source":"ScienceDirect","title":"A framework for modeling payments for ecosystem services with agent-based models, Bayesian belief networks and opinion dynamics models","volume":"45","author":[{"family":"Sun","given":"Zhanli"},{"family":"Müller","given":"Daniel"}],"issued":{"date-parts":[["2013",7,1]]}}}],"schema":"https://github.com/citation-style-language/schema/raw/master/csl-citation.json"}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[49]</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308D7A1F"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509 households</w:t>
            </w:r>
          </w:p>
        </w:tc>
        <w:tc>
          <w:tcPr>
            <w:tcW w:w="332" w:type="pct"/>
            <w:shd w:val="clear" w:color="auto" w:fill="auto"/>
            <w:tcMar>
              <w:top w:w="15" w:type="dxa"/>
              <w:left w:w="15" w:type="dxa"/>
              <w:bottom w:w="0" w:type="dxa"/>
              <w:right w:w="15" w:type="dxa"/>
            </w:tcMar>
            <w:vAlign w:val="center"/>
            <w:hideMark/>
          </w:tcPr>
          <w:p w14:paraId="3E92C962"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20449171"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018C518E"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7F215C38"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2011</w:t>
            </w:r>
          </w:p>
        </w:tc>
        <w:tc>
          <w:tcPr>
            <w:tcW w:w="544" w:type="pct"/>
            <w:shd w:val="clear" w:color="auto" w:fill="auto"/>
            <w:tcMar>
              <w:top w:w="15" w:type="dxa"/>
              <w:left w:w="15" w:type="dxa"/>
              <w:bottom w:w="0" w:type="dxa"/>
              <w:right w:w="15" w:type="dxa"/>
            </w:tcMar>
            <w:vAlign w:val="center"/>
            <w:hideMark/>
          </w:tcPr>
          <w:p w14:paraId="3DDBD3E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Household labor endowments</w:t>
            </w:r>
          </w:p>
        </w:tc>
        <w:tc>
          <w:tcPr>
            <w:tcW w:w="498" w:type="pct"/>
            <w:shd w:val="clear" w:color="auto" w:fill="auto"/>
            <w:tcMar>
              <w:top w:w="15" w:type="dxa"/>
              <w:left w:w="15" w:type="dxa"/>
              <w:bottom w:w="0" w:type="dxa"/>
              <w:right w:w="15" w:type="dxa"/>
            </w:tcMar>
            <w:vAlign w:val="center"/>
            <w:hideMark/>
          </w:tcPr>
          <w:p w14:paraId="355DC240"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Arable land area</w:t>
            </w:r>
          </w:p>
        </w:tc>
        <w:tc>
          <w:tcPr>
            <w:tcW w:w="443" w:type="pct"/>
            <w:shd w:val="clear" w:color="auto" w:fill="auto"/>
            <w:tcMar>
              <w:top w:w="15" w:type="dxa"/>
              <w:left w:w="15" w:type="dxa"/>
              <w:bottom w:w="0" w:type="dxa"/>
              <w:right w:w="15" w:type="dxa"/>
            </w:tcMar>
            <w:vAlign w:val="center"/>
            <w:hideMark/>
          </w:tcPr>
          <w:p w14:paraId="68F1EFF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Slope</w:t>
            </w:r>
          </w:p>
        </w:tc>
        <w:tc>
          <w:tcPr>
            <w:tcW w:w="440" w:type="pct"/>
            <w:shd w:val="clear" w:color="auto" w:fill="auto"/>
            <w:tcMar>
              <w:top w:w="15" w:type="dxa"/>
              <w:left w:w="15" w:type="dxa"/>
              <w:bottom w:w="0" w:type="dxa"/>
              <w:right w:w="15" w:type="dxa"/>
            </w:tcMar>
            <w:vAlign w:val="center"/>
            <w:hideMark/>
          </w:tcPr>
          <w:p w14:paraId="248F7AA0"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Opportunity cost</w:t>
            </w:r>
            <w:r w:rsidRPr="0024133B">
              <w:rPr>
                <w:rFonts w:ascii="Times New Roman" w:hAnsi="Times New Roman" w:hint="eastAsia"/>
                <w:kern w:val="0"/>
                <w:szCs w:val="21"/>
              </w:rPr>
              <w:t>s</w:t>
            </w:r>
            <w:r w:rsidRPr="0024133B">
              <w:rPr>
                <w:rFonts w:ascii="Times New Roman" w:hAnsi="Times New Roman"/>
                <w:kern w:val="0"/>
                <w:szCs w:val="21"/>
              </w:rPr>
              <w:t xml:space="preserve"> for land (livelihood type)</w:t>
            </w:r>
          </w:p>
        </w:tc>
        <w:tc>
          <w:tcPr>
            <w:tcW w:w="345" w:type="pct"/>
            <w:shd w:val="clear" w:color="auto" w:fill="auto"/>
            <w:tcMar>
              <w:top w:w="15" w:type="dxa"/>
              <w:left w:w="15" w:type="dxa"/>
              <w:bottom w:w="0" w:type="dxa"/>
              <w:right w:w="15" w:type="dxa"/>
            </w:tcMar>
            <w:vAlign w:val="center"/>
            <w:hideMark/>
          </w:tcPr>
          <w:p w14:paraId="2F5FFFD4"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509AA818"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68A22C7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lastRenderedPageBreak/>
              <w:t>40</w:t>
            </w:r>
          </w:p>
        </w:tc>
        <w:tc>
          <w:tcPr>
            <w:tcW w:w="726" w:type="pct"/>
            <w:shd w:val="clear" w:color="auto" w:fill="auto"/>
            <w:tcMar>
              <w:top w:w="15" w:type="dxa"/>
              <w:left w:w="15" w:type="dxa"/>
              <w:bottom w:w="0" w:type="dxa"/>
              <w:right w:w="15" w:type="dxa"/>
            </w:tcMar>
            <w:vAlign w:val="center"/>
            <w:hideMark/>
          </w:tcPr>
          <w:p w14:paraId="30907A38"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 xml:space="preserve">Yunnan (Kunming)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{"citationID":"9OLgeTou","properties":{"formattedCitation":"[89]","plainCitation":"[89]","noteIndex":0},"citationItems":[{"id":"IuHaWYsY/fnVTqiBL","uris":["http://zotero.org/users/local/nuU8Soog/items/LN96BESL"],"itemData":{"id":195,"type":"article-journal","abstract":"The Chinese government is currently implementing the world's largest forest restoration program, the Sloping Land Conversion Program (SLCP), which uses public payments to convert marginal cropland in upper watersheds into forests, engaging millions of mountain-dwelling households. Apart from providing financial incentives, the state has also promoted local autonomy and participation in the program. This promotion represents a big shift in forest policy that grants more power to local communities and increases the involvement of local governance in decision-making. Whether the SLCP has been effectively implemented, the extent of its ecological and socioeconomic outcomes and how its performance can be improved are still unclear in the absence of adequate biophysical and socioeconomic data. To gain a holistic understanding of the SLCP's implementation and impacts, this research examines the interplay between the governance of the policy's implementation and local variations leading to the various ecological and socioeconomic outcomes observed, based on a comparative case study in two communities. It provides a novel explanation for why the SLCP, generally implemented via a top-down approach, produces better positive outcomes in one place than in the other, and argues for the significance of local institutions in shaping the policy's outcomes. This paper recommends institutional reform across the country's socio-ecological system, with the national policy-maker considering local dynamics in policy formulation and implementation and developing mechanisms of accountability and local institutions.","container-title":"Forest Policy and Economics","DOI":"10.1016/j.forpol.2014.05.004","ISSN":"1389-9341","journalAbbreviation":"Forest Policy and Economics","language":"en","page":"30-38","source":"ScienceDirect","title":"Governing forest restoration: Local case studies of sloping land conversion program in Southwest China","title-short":"Governing forest restoration","volume":"46","author":[{"family":"He","given":"Jun"}],"issued":{"date-parts":[["2014",9,1]]}}}],"schema":"https://github.com/citation-style-language/schema/raw/master/csl-citation.json"}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[89]</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31AD7788"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103 households</w:t>
            </w:r>
          </w:p>
        </w:tc>
        <w:tc>
          <w:tcPr>
            <w:tcW w:w="332" w:type="pct"/>
            <w:shd w:val="clear" w:color="auto" w:fill="auto"/>
            <w:tcMar>
              <w:top w:w="15" w:type="dxa"/>
              <w:left w:w="15" w:type="dxa"/>
              <w:bottom w:w="0" w:type="dxa"/>
              <w:right w:w="15" w:type="dxa"/>
            </w:tcMar>
            <w:vAlign w:val="center"/>
            <w:hideMark/>
          </w:tcPr>
          <w:p w14:paraId="66CF774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11.8, 2.1</w:t>
            </w:r>
          </w:p>
        </w:tc>
        <w:tc>
          <w:tcPr>
            <w:tcW w:w="332" w:type="pct"/>
            <w:shd w:val="clear" w:color="auto" w:fill="auto"/>
            <w:tcMar>
              <w:top w:w="15" w:type="dxa"/>
              <w:left w:w="15" w:type="dxa"/>
              <w:bottom w:w="0" w:type="dxa"/>
              <w:right w:w="15" w:type="dxa"/>
            </w:tcMar>
            <w:vAlign w:val="center"/>
            <w:hideMark/>
          </w:tcPr>
          <w:p w14:paraId="40205EC0"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34DFB1CF"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88.2, 97.9</w:t>
            </w:r>
          </w:p>
        </w:tc>
        <w:tc>
          <w:tcPr>
            <w:tcW w:w="343" w:type="pct"/>
            <w:shd w:val="clear" w:color="auto" w:fill="auto"/>
            <w:tcMar>
              <w:top w:w="15" w:type="dxa"/>
              <w:left w:w="15" w:type="dxa"/>
              <w:bottom w:w="0" w:type="dxa"/>
              <w:right w:w="15" w:type="dxa"/>
            </w:tcMar>
            <w:vAlign w:val="center"/>
            <w:hideMark/>
          </w:tcPr>
          <w:p w14:paraId="04B525A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2011</w:t>
            </w:r>
          </w:p>
        </w:tc>
        <w:tc>
          <w:tcPr>
            <w:tcW w:w="544" w:type="pct"/>
            <w:shd w:val="clear" w:color="auto" w:fill="auto"/>
            <w:tcMar>
              <w:top w:w="15" w:type="dxa"/>
              <w:left w:w="15" w:type="dxa"/>
              <w:bottom w:w="0" w:type="dxa"/>
              <w:right w:w="15" w:type="dxa"/>
            </w:tcMar>
            <w:vAlign w:val="center"/>
            <w:hideMark/>
          </w:tcPr>
          <w:p w14:paraId="3472F84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Property security</w:t>
            </w:r>
          </w:p>
        </w:tc>
        <w:tc>
          <w:tcPr>
            <w:tcW w:w="498" w:type="pct"/>
            <w:shd w:val="clear" w:color="auto" w:fill="auto"/>
            <w:tcMar>
              <w:top w:w="15" w:type="dxa"/>
              <w:left w:w="15" w:type="dxa"/>
              <w:bottom w:w="0" w:type="dxa"/>
              <w:right w:w="15" w:type="dxa"/>
            </w:tcMar>
            <w:vAlign w:val="center"/>
            <w:hideMark/>
          </w:tcPr>
          <w:p w14:paraId="39AC5A0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Justice</w:t>
            </w:r>
          </w:p>
        </w:tc>
        <w:tc>
          <w:tcPr>
            <w:tcW w:w="443" w:type="pct"/>
            <w:shd w:val="clear" w:color="auto" w:fill="auto"/>
            <w:tcMar>
              <w:top w:w="15" w:type="dxa"/>
              <w:left w:w="15" w:type="dxa"/>
              <w:bottom w:w="0" w:type="dxa"/>
              <w:right w:w="15" w:type="dxa"/>
            </w:tcMar>
            <w:vAlign w:val="center"/>
            <w:hideMark/>
          </w:tcPr>
          <w:p w14:paraId="24064690" w14:textId="77777777" w:rsidR="00695CAB" w:rsidRPr="0024133B" w:rsidRDefault="00695CAB" w:rsidP="0075750D">
            <w:pPr>
              <w:widowControl/>
              <w:spacing w:before="120" w:after="120"/>
              <w:jc w:val="center"/>
              <w:rPr>
                <w:rFonts w:ascii="Times New Roman" w:hAnsi="Times New Roman"/>
                <w:kern w:val="0"/>
                <w:szCs w:val="21"/>
              </w:rPr>
            </w:pPr>
          </w:p>
        </w:tc>
        <w:tc>
          <w:tcPr>
            <w:tcW w:w="440" w:type="pct"/>
            <w:shd w:val="clear" w:color="auto" w:fill="auto"/>
            <w:tcMar>
              <w:top w:w="15" w:type="dxa"/>
              <w:left w:w="15" w:type="dxa"/>
              <w:bottom w:w="0" w:type="dxa"/>
              <w:right w:w="15" w:type="dxa"/>
            </w:tcMar>
            <w:vAlign w:val="center"/>
            <w:hideMark/>
          </w:tcPr>
          <w:p w14:paraId="1FCDC680" w14:textId="77777777" w:rsidR="00695CAB" w:rsidRPr="0024133B" w:rsidRDefault="00695CAB" w:rsidP="0075750D">
            <w:pPr>
              <w:widowControl/>
              <w:spacing w:before="120" w:after="120"/>
              <w:jc w:val="center"/>
              <w:rPr>
                <w:rFonts w:ascii="Times New Roman" w:hAnsi="Times New Roman"/>
                <w:kern w:val="0"/>
                <w:szCs w:val="21"/>
              </w:rPr>
            </w:pPr>
          </w:p>
        </w:tc>
        <w:tc>
          <w:tcPr>
            <w:tcW w:w="345" w:type="pct"/>
            <w:shd w:val="clear" w:color="auto" w:fill="auto"/>
            <w:tcMar>
              <w:top w:w="15" w:type="dxa"/>
              <w:left w:w="15" w:type="dxa"/>
              <w:bottom w:w="0" w:type="dxa"/>
              <w:right w:w="15" w:type="dxa"/>
            </w:tcMar>
            <w:vAlign w:val="center"/>
            <w:hideMark/>
          </w:tcPr>
          <w:p w14:paraId="3444DB37"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569932B4" w14:textId="77777777" w:rsidTr="0075750D">
        <w:trPr>
          <w:trHeight w:val="152"/>
          <w:jc w:val="center"/>
        </w:trPr>
        <w:tc>
          <w:tcPr>
            <w:tcW w:w="166" w:type="pct"/>
            <w:shd w:val="clear" w:color="auto" w:fill="auto"/>
            <w:tcMar>
              <w:top w:w="15" w:type="dxa"/>
              <w:left w:w="15" w:type="dxa"/>
              <w:bottom w:w="0" w:type="dxa"/>
              <w:right w:w="15" w:type="dxa"/>
            </w:tcMar>
            <w:vAlign w:val="center"/>
            <w:hideMark/>
          </w:tcPr>
          <w:p w14:paraId="582F75C3"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41</w:t>
            </w:r>
          </w:p>
        </w:tc>
        <w:tc>
          <w:tcPr>
            <w:tcW w:w="726" w:type="pct"/>
            <w:shd w:val="clear" w:color="auto" w:fill="auto"/>
            <w:tcMar>
              <w:top w:w="15" w:type="dxa"/>
              <w:left w:w="15" w:type="dxa"/>
              <w:bottom w:w="0" w:type="dxa"/>
              <w:right w:w="15" w:type="dxa"/>
            </w:tcMar>
            <w:vAlign w:val="center"/>
            <w:hideMark/>
          </w:tcPr>
          <w:p w14:paraId="2FC599E6"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Shaanxi (</w:t>
            </w:r>
            <w:proofErr w:type="spellStart"/>
            <w:r w:rsidRPr="0024133B">
              <w:rPr>
                <w:rFonts w:ascii="Times New Roman" w:hAnsi="Times New Roman"/>
                <w:kern w:val="0"/>
                <w:szCs w:val="21"/>
              </w:rPr>
              <w:t>Jingbian</w:t>
            </w:r>
            <w:proofErr w:type="spellEnd"/>
            <w:r w:rsidRPr="0024133B">
              <w:rPr>
                <w:rFonts w:ascii="Times New Roman" w:hAnsi="Times New Roman"/>
                <w:kern w:val="0"/>
                <w:szCs w:val="21"/>
              </w:rPr>
              <w:t xml:space="preserve">, </w:t>
            </w:r>
            <w:proofErr w:type="spellStart"/>
            <w:r w:rsidRPr="0024133B">
              <w:rPr>
                <w:rFonts w:ascii="Times New Roman" w:hAnsi="Times New Roman"/>
                <w:kern w:val="0"/>
                <w:szCs w:val="21"/>
              </w:rPr>
              <w:t>Ansai</w:t>
            </w:r>
            <w:proofErr w:type="spellEnd"/>
            <w:r w:rsidRPr="0024133B">
              <w:rPr>
                <w:rFonts w:ascii="Times New Roman" w:hAnsi="Times New Roman"/>
                <w:kern w:val="0"/>
                <w:szCs w:val="21"/>
              </w:rPr>
              <w:t xml:space="preserve">, </w:t>
            </w:r>
            <w:proofErr w:type="spellStart"/>
            <w:r w:rsidRPr="0024133B">
              <w:rPr>
                <w:rFonts w:ascii="Times New Roman" w:hAnsi="Times New Roman"/>
                <w:kern w:val="0"/>
                <w:szCs w:val="21"/>
              </w:rPr>
              <w:t>Baotai</w:t>
            </w:r>
            <w:proofErr w:type="spellEnd"/>
            <w:r w:rsidRPr="0024133B">
              <w:rPr>
                <w:rFonts w:ascii="Times New Roman" w:hAnsi="Times New Roman"/>
                <w:kern w:val="0"/>
                <w:szCs w:val="21"/>
              </w:rPr>
              <w:t xml:space="preserve">, </w:t>
            </w:r>
            <w:proofErr w:type="spellStart"/>
            <w:r w:rsidRPr="0024133B">
              <w:rPr>
                <w:rFonts w:ascii="Times New Roman" w:hAnsi="Times New Roman"/>
                <w:kern w:val="0"/>
                <w:szCs w:val="21"/>
              </w:rPr>
              <w:t>Yanchang</w:t>
            </w:r>
            <w:proofErr w:type="spellEnd"/>
            <w:r w:rsidRPr="0024133B">
              <w:rPr>
                <w:rFonts w:ascii="Times New Roman" w:hAnsi="Times New Roman"/>
                <w:kern w:val="0"/>
                <w:szCs w:val="21"/>
              </w:rPr>
              <w:t xml:space="preserve">, </w:t>
            </w:r>
            <w:proofErr w:type="spellStart"/>
            <w:r w:rsidRPr="0024133B">
              <w:rPr>
                <w:rFonts w:ascii="Times New Roman" w:hAnsi="Times New Roman"/>
                <w:kern w:val="0"/>
                <w:szCs w:val="21"/>
              </w:rPr>
              <w:t>Luochuan</w:t>
            </w:r>
            <w:proofErr w:type="spellEnd"/>
            <w:r w:rsidRPr="0024133B">
              <w:rPr>
                <w:rFonts w:ascii="Times New Roman" w:hAnsi="Times New Roman"/>
                <w:kern w:val="0"/>
                <w:szCs w:val="21"/>
              </w:rPr>
              <w:t xml:space="preserve">)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cSZoIQMZ","properties":{"formattedCitation":"[90]","plainCitation":"[90]","noteIndex":0},"citationItems":[{"id":"IuHaWYsY/Od4r50MZ","uris":["http://zotero.org/users/local/nuU8Soog/items/6ETT2YIA"],"itemData":{"id":197,"type":"article-journal","container-title":"Chinese journal of applied ecology","page":"426-434","title":"Grain for Green Project willingness evaluation of the farmers in northern Shannxi province of China","volume":"20","author":[{"family":"Cao","given":"Shixiong"},{"family":"Chen","given":"Li"},{"family":"Yu","given":"Xinxiao"}],"issued":{"date-parts":[["2009"]]}}}],"schema":"https://github.com/citation-style-language/schema/raw/master/csl-citation.json"}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[90]</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4AADE126"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1 768 households</w:t>
            </w:r>
          </w:p>
        </w:tc>
        <w:tc>
          <w:tcPr>
            <w:tcW w:w="332" w:type="pct"/>
            <w:shd w:val="clear" w:color="auto" w:fill="auto"/>
            <w:tcMar>
              <w:top w:w="15" w:type="dxa"/>
              <w:left w:w="15" w:type="dxa"/>
              <w:bottom w:w="0" w:type="dxa"/>
              <w:right w:w="15" w:type="dxa"/>
            </w:tcMar>
            <w:vAlign w:val="center"/>
            <w:hideMark/>
          </w:tcPr>
          <w:p w14:paraId="0BA34B6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37.2</w:t>
            </w:r>
          </w:p>
        </w:tc>
        <w:tc>
          <w:tcPr>
            <w:tcW w:w="332" w:type="pct"/>
            <w:shd w:val="clear" w:color="auto" w:fill="auto"/>
            <w:tcMar>
              <w:top w:w="15" w:type="dxa"/>
              <w:left w:w="15" w:type="dxa"/>
              <w:bottom w:w="0" w:type="dxa"/>
              <w:right w:w="15" w:type="dxa"/>
            </w:tcMar>
            <w:vAlign w:val="center"/>
            <w:hideMark/>
          </w:tcPr>
          <w:p w14:paraId="12910ED5"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61F2B561"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37252653"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2007</w:t>
            </w:r>
          </w:p>
        </w:tc>
        <w:tc>
          <w:tcPr>
            <w:tcW w:w="544" w:type="pct"/>
            <w:shd w:val="clear" w:color="auto" w:fill="auto"/>
            <w:tcMar>
              <w:top w:w="15" w:type="dxa"/>
              <w:left w:w="15" w:type="dxa"/>
              <w:bottom w:w="0" w:type="dxa"/>
              <w:right w:w="15" w:type="dxa"/>
            </w:tcMar>
            <w:vAlign w:val="center"/>
            <w:hideMark/>
          </w:tcPr>
          <w:p w14:paraId="273C210F"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Financial incentive</w:t>
            </w:r>
          </w:p>
        </w:tc>
        <w:tc>
          <w:tcPr>
            <w:tcW w:w="498" w:type="pct"/>
            <w:shd w:val="clear" w:color="auto" w:fill="auto"/>
            <w:tcMar>
              <w:top w:w="15" w:type="dxa"/>
              <w:left w:w="15" w:type="dxa"/>
              <w:bottom w:w="0" w:type="dxa"/>
              <w:right w:w="15" w:type="dxa"/>
            </w:tcMar>
            <w:vAlign w:val="center"/>
            <w:hideMark/>
          </w:tcPr>
          <w:p w14:paraId="48CD0D4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Opportunity cost</w:t>
            </w:r>
            <w:r w:rsidRPr="0024133B">
              <w:rPr>
                <w:rFonts w:ascii="Times New Roman" w:hAnsi="Times New Roman" w:hint="eastAsia"/>
                <w:kern w:val="0"/>
                <w:szCs w:val="21"/>
              </w:rPr>
              <w:t>s</w:t>
            </w:r>
            <w:r w:rsidRPr="0024133B">
              <w:rPr>
                <w:rFonts w:ascii="Times New Roman" w:hAnsi="Times New Roman"/>
                <w:kern w:val="0"/>
                <w:szCs w:val="21"/>
              </w:rPr>
              <w:t xml:space="preserve"> for land</w:t>
            </w:r>
          </w:p>
        </w:tc>
        <w:tc>
          <w:tcPr>
            <w:tcW w:w="443" w:type="pct"/>
            <w:shd w:val="clear" w:color="auto" w:fill="auto"/>
            <w:tcMar>
              <w:top w:w="15" w:type="dxa"/>
              <w:left w:w="15" w:type="dxa"/>
              <w:bottom w:w="0" w:type="dxa"/>
              <w:right w:w="15" w:type="dxa"/>
            </w:tcMar>
            <w:vAlign w:val="center"/>
            <w:hideMark/>
          </w:tcPr>
          <w:p w14:paraId="7D83F612"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Off-farm labor allocation</w:t>
            </w:r>
          </w:p>
        </w:tc>
        <w:tc>
          <w:tcPr>
            <w:tcW w:w="440" w:type="pct"/>
            <w:shd w:val="clear" w:color="auto" w:fill="auto"/>
            <w:tcMar>
              <w:top w:w="15" w:type="dxa"/>
              <w:left w:w="15" w:type="dxa"/>
              <w:bottom w:w="0" w:type="dxa"/>
              <w:right w:w="15" w:type="dxa"/>
            </w:tcMar>
            <w:vAlign w:val="center"/>
            <w:hideMark/>
          </w:tcPr>
          <w:p w14:paraId="4A840C18"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Slope</w:t>
            </w:r>
          </w:p>
        </w:tc>
        <w:tc>
          <w:tcPr>
            <w:tcW w:w="345" w:type="pct"/>
            <w:shd w:val="clear" w:color="auto" w:fill="auto"/>
            <w:tcMar>
              <w:top w:w="15" w:type="dxa"/>
              <w:left w:w="15" w:type="dxa"/>
              <w:bottom w:w="0" w:type="dxa"/>
              <w:right w:w="15" w:type="dxa"/>
            </w:tcMar>
            <w:vAlign w:val="center"/>
            <w:hideMark/>
          </w:tcPr>
          <w:p w14:paraId="46D0E2CA"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0BB26506"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4E3AFCA1"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42</w:t>
            </w:r>
          </w:p>
        </w:tc>
        <w:tc>
          <w:tcPr>
            <w:tcW w:w="726" w:type="pct"/>
            <w:shd w:val="clear" w:color="auto" w:fill="auto"/>
            <w:tcMar>
              <w:top w:w="15" w:type="dxa"/>
              <w:left w:w="15" w:type="dxa"/>
              <w:bottom w:w="0" w:type="dxa"/>
              <w:right w:w="15" w:type="dxa"/>
            </w:tcMar>
            <w:vAlign w:val="center"/>
            <w:hideMark/>
          </w:tcPr>
          <w:p w14:paraId="47FA9324"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 xml:space="preserve">Shaanxi, Gansu, and Sichuan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7WuExQBB","properties":{"formattedCitation":"[91]","plainCitation":"[91]","noteIndex":0},"citationItems":[{"id":"IuHaWYsY/UZhszyID","uris":["http://zotero.org/users/local/nuU8Soog/items/8IVPNBJ7"],"itemData":{"id":198,"type":"article-journal","abstract":"Abstract\n            In this paper we evaluate the long-run sustainability of China's Sloping Land Conversion Program (SLCP) by investigating the determinants of farmers’ self-predicted post-program land use decisions. We use data from a household survey conducted in 2005, with a particular focus on a dependent variable that reflects farmers’ ordinal responses to a question about their probability of converting the enrolled lands back to cultivation after the program ends. First, we find that targeting the program on steeper sloped and lower quality plots can significantly decrease the probability of reconversion. Second, there is a significant and robust household income structure effect on the reconversion probability. Third, participating households with the right to decide what to plant on enrolled land have a higher probability of maintaining the reforested land after the program ends. Finally, subsidy shortfall has a positive influence on the probability of reconversion.","container-title":"Environment and Development Economics","DOI":"10.1017/S1355770X13000259","ISSN":"1355-770X, 1469-4395","issue":"1","journalAbbreviation":"Envir. Dev. Econ.","language":"en","page":"30-47","source":"DOI.org (Crossref)","title":"Program sustainability and the determinants of farmers’ self-predicted post-program land use decisions: evidence from the Sloping Land Conversion Program (SLCP) in China","title-short":"Program sustainability and the determinants of farmers’ self-predicted post-program land use decisions","volume":"19","author":[{"family":"Yang","given":"Xiaojun"},{"family":"Xu","given":"Jintao"}],"issued":{"date-parts":[["2014",2]]}}}],"schema":"https://github.com/citation-style-language/schema/raw/master/csl-citation.json"}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[91]</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72EBA012"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334 households</w:t>
            </w:r>
          </w:p>
        </w:tc>
        <w:tc>
          <w:tcPr>
            <w:tcW w:w="332" w:type="pct"/>
            <w:shd w:val="clear" w:color="auto" w:fill="auto"/>
            <w:tcMar>
              <w:top w:w="15" w:type="dxa"/>
              <w:left w:w="15" w:type="dxa"/>
              <w:bottom w:w="0" w:type="dxa"/>
              <w:right w:w="15" w:type="dxa"/>
            </w:tcMar>
            <w:vAlign w:val="center"/>
            <w:hideMark/>
          </w:tcPr>
          <w:p w14:paraId="5468C421"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52390DEA"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71D7A15F"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7856B1C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2005</w:t>
            </w:r>
          </w:p>
        </w:tc>
        <w:tc>
          <w:tcPr>
            <w:tcW w:w="544" w:type="pct"/>
            <w:shd w:val="clear" w:color="auto" w:fill="auto"/>
            <w:tcMar>
              <w:top w:w="15" w:type="dxa"/>
              <w:left w:w="15" w:type="dxa"/>
              <w:bottom w:w="0" w:type="dxa"/>
              <w:right w:w="15" w:type="dxa"/>
            </w:tcMar>
            <w:vAlign w:val="center"/>
            <w:hideMark/>
          </w:tcPr>
          <w:p w14:paraId="30EEC0F0"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Opportunity cost</w:t>
            </w:r>
            <w:r w:rsidRPr="0024133B">
              <w:rPr>
                <w:rFonts w:ascii="Times New Roman" w:hAnsi="Times New Roman" w:hint="eastAsia"/>
                <w:kern w:val="0"/>
                <w:szCs w:val="21"/>
              </w:rPr>
              <w:t>s</w:t>
            </w:r>
            <w:r w:rsidRPr="0024133B">
              <w:rPr>
                <w:rFonts w:ascii="Times New Roman" w:hAnsi="Times New Roman"/>
                <w:kern w:val="0"/>
                <w:szCs w:val="21"/>
              </w:rPr>
              <w:t xml:space="preserve"> for land</w:t>
            </w:r>
          </w:p>
        </w:tc>
        <w:tc>
          <w:tcPr>
            <w:tcW w:w="498" w:type="pct"/>
            <w:shd w:val="clear" w:color="auto" w:fill="auto"/>
            <w:tcMar>
              <w:top w:w="15" w:type="dxa"/>
              <w:left w:w="15" w:type="dxa"/>
              <w:bottom w:w="0" w:type="dxa"/>
              <w:right w:w="15" w:type="dxa"/>
            </w:tcMar>
            <w:vAlign w:val="center"/>
            <w:hideMark/>
          </w:tcPr>
          <w:p w14:paraId="526C8018"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Income</w:t>
            </w:r>
          </w:p>
        </w:tc>
        <w:tc>
          <w:tcPr>
            <w:tcW w:w="443" w:type="pct"/>
            <w:shd w:val="clear" w:color="auto" w:fill="auto"/>
            <w:tcMar>
              <w:top w:w="15" w:type="dxa"/>
              <w:left w:w="15" w:type="dxa"/>
              <w:bottom w:w="0" w:type="dxa"/>
              <w:right w:w="15" w:type="dxa"/>
            </w:tcMar>
            <w:vAlign w:val="center"/>
            <w:hideMark/>
          </w:tcPr>
          <w:p w14:paraId="277AE872"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Property security</w:t>
            </w:r>
          </w:p>
        </w:tc>
        <w:tc>
          <w:tcPr>
            <w:tcW w:w="440" w:type="pct"/>
            <w:shd w:val="clear" w:color="auto" w:fill="auto"/>
            <w:tcMar>
              <w:top w:w="15" w:type="dxa"/>
              <w:left w:w="15" w:type="dxa"/>
              <w:bottom w:w="0" w:type="dxa"/>
              <w:right w:w="15" w:type="dxa"/>
            </w:tcMar>
            <w:vAlign w:val="center"/>
            <w:hideMark/>
          </w:tcPr>
          <w:p w14:paraId="31341B1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Financial incentive</w:t>
            </w:r>
          </w:p>
        </w:tc>
        <w:tc>
          <w:tcPr>
            <w:tcW w:w="345" w:type="pct"/>
            <w:shd w:val="clear" w:color="auto" w:fill="auto"/>
            <w:tcMar>
              <w:top w:w="15" w:type="dxa"/>
              <w:left w:w="15" w:type="dxa"/>
              <w:bottom w:w="0" w:type="dxa"/>
              <w:right w:w="15" w:type="dxa"/>
            </w:tcMar>
            <w:vAlign w:val="center"/>
            <w:hideMark/>
          </w:tcPr>
          <w:p w14:paraId="36FFBAEA"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Slope</w:t>
            </w:r>
          </w:p>
        </w:tc>
      </w:tr>
      <w:tr w:rsidR="00695CAB" w:rsidRPr="0024133B" w14:paraId="0A220247"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55DA4BA1"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43</w:t>
            </w:r>
          </w:p>
        </w:tc>
        <w:tc>
          <w:tcPr>
            <w:tcW w:w="726" w:type="pct"/>
            <w:shd w:val="clear" w:color="auto" w:fill="auto"/>
            <w:tcMar>
              <w:top w:w="15" w:type="dxa"/>
              <w:left w:w="15" w:type="dxa"/>
              <w:bottom w:w="0" w:type="dxa"/>
              <w:right w:w="15" w:type="dxa"/>
            </w:tcMar>
            <w:vAlign w:val="center"/>
            <w:hideMark/>
          </w:tcPr>
          <w:p w14:paraId="32943F06"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Gansu (</w:t>
            </w:r>
            <w:proofErr w:type="spellStart"/>
            <w:r w:rsidRPr="0024133B">
              <w:rPr>
                <w:rFonts w:ascii="Times New Roman" w:hAnsi="Times New Roman"/>
                <w:kern w:val="0"/>
                <w:szCs w:val="21"/>
              </w:rPr>
              <w:t>Daniu</w:t>
            </w:r>
            <w:proofErr w:type="spellEnd"/>
            <w:r w:rsidRPr="0024133B">
              <w:rPr>
                <w:rFonts w:ascii="Times New Roman" w:hAnsi="Times New Roman"/>
                <w:kern w:val="0"/>
                <w:szCs w:val="21"/>
              </w:rPr>
              <w:t xml:space="preserve"> watershed)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quqkj8Qg","properties":{"formattedCitation":"[92]","plainCitation":"[92]","noteIndex":0},"citationItems":[{"id":"IuHaWYsY/SObnflRH","uris":["http://zotero.org/users/local/nuU8Soog/items/7547YIPF"],"itemData":{"id":199,"type":"article-journal","container-title":"Scientia Geographica Sinica","page":"426-434","title":"Response of farmer households to “Grain for Green Project” and quantitative analysis of its affecting factors- A case study of Daniu watershed in Gansu province","volume":"28","author":[{"family":"Ma","given":"Yan"},{"family":"Chen","given":"Li-Ding"},{"family":"Hu","given":"Chen-Xia"}],"issued":{"date-parts":[["2008"]]}}}],"schema":"https://github.com/citation-style-language/schema/raw/master/csl-citation.json"}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[92]</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7C42935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69 households</w:t>
            </w:r>
          </w:p>
        </w:tc>
        <w:tc>
          <w:tcPr>
            <w:tcW w:w="332" w:type="pct"/>
            <w:shd w:val="clear" w:color="auto" w:fill="auto"/>
            <w:tcMar>
              <w:top w:w="15" w:type="dxa"/>
              <w:left w:w="15" w:type="dxa"/>
              <w:bottom w:w="0" w:type="dxa"/>
              <w:right w:w="15" w:type="dxa"/>
            </w:tcMar>
            <w:vAlign w:val="center"/>
            <w:hideMark/>
          </w:tcPr>
          <w:p w14:paraId="211C038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47. 8</w:t>
            </w:r>
          </w:p>
        </w:tc>
        <w:tc>
          <w:tcPr>
            <w:tcW w:w="332" w:type="pct"/>
            <w:shd w:val="clear" w:color="auto" w:fill="auto"/>
            <w:tcMar>
              <w:top w:w="15" w:type="dxa"/>
              <w:left w:w="15" w:type="dxa"/>
              <w:bottom w:w="0" w:type="dxa"/>
              <w:right w:w="15" w:type="dxa"/>
            </w:tcMar>
            <w:vAlign w:val="center"/>
            <w:hideMark/>
          </w:tcPr>
          <w:p w14:paraId="4ABFC9BA"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3AAAB831"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52. 2</w:t>
            </w:r>
          </w:p>
        </w:tc>
        <w:tc>
          <w:tcPr>
            <w:tcW w:w="343" w:type="pct"/>
            <w:shd w:val="clear" w:color="auto" w:fill="auto"/>
            <w:tcMar>
              <w:top w:w="15" w:type="dxa"/>
              <w:left w:w="15" w:type="dxa"/>
              <w:bottom w:w="0" w:type="dxa"/>
              <w:right w:w="15" w:type="dxa"/>
            </w:tcMar>
            <w:vAlign w:val="center"/>
            <w:hideMark/>
          </w:tcPr>
          <w:p w14:paraId="4268FE8D"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2005</w:t>
            </w:r>
          </w:p>
        </w:tc>
        <w:tc>
          <w:tcPr>
            <w:tcW w:w="544" w:type="pct"/>
            <w:shd w:val="clear" w:color="auto" w:fill="auto"/>
            <w:tcMar>
              <w:top w:w="15" w:type="dxa"/>
              <w:left w:w="15" w:type="dxa"/>
              <w:bottom w:w="0" w:type="dxa"/>
              <w:right w:w="15" w:type="dxa"/>
            </w:tcMar>
            <w:vAlign w:val="center"/>
            <w:hideMark/>
          </w:tcPr>
          <w:p w14:paraId="50FA3D64"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Age</w:t>
            </w:r>
          </w:p>
        </w:tc>
        <w:tc>
          <w:tcPr>
            <w:tcW w:w="498" w:type="pct"/>
            <w:shd w:val="clear" w:color="auto" w:fill="auto"/>
            <w:tcMar>
              <w:top w:w="15" w:type="dxa"/>
              <w:left w:w="15" w:type="dxa"/>
              <w:bottom w:w="0" w:type="dxa"/>
              <w:right w:w="15" w:type="dxa"/>
            </w:tcMar>
            <w:vAlign w:val="center"/>
            <w:hideMark/>
          </w:tcPr>
          <w:p w14:paraId="2B11FAD3"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Education level</w:t>
            </w:r>
          </w:p>
        </w:tc>
        <w:tc>
          <w:tcPr>
            <w:tcW w:w="443" w:type="pct"/>
            <w:shd w:val="clear" w:color="auto" w:fill="auto"/>
            <w:tcMar>
              <w:top w:w="15" w:type="dxa"/>
              <w:left w:w="15" w:type="dxa"/>
              <w:bottom w:w="0" w:type="dxa"/>
              <w:right w:w="15" w:type="dxa"/>
            </w:tcMar>
            <w:vAlign w:val="center"/>
            <w:hideMark/>
          </w:tcPr>
          <w:p w14:paraId="6BD02DC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Arable land area</w:t>
            </w:r>
          </w:p>
        </w:tc>
        <w:tc>
          <w:tcPr>
            <w:tcW w:w="440" w:type="pct"/>
            <w:shd w:val="clear" w:color="auto" w:fill="auto"/>
            <w:tcMar>
              <w:top w:w="15" w:type="dxa"/>
              <w:left w:w="15" w:type="dxa"/>
              <w:bottom w:w="0" w:type="dxa"/>
              <w:right w:w="15" w:type="dxa"/>
            </w:tcMar>
            <w:vAlign w:val="center"/>
            <w:hideMark/>
          </w:tcPr>
          <w:p w14:paraId="2C79A6FB"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Household labor endowments</w:t>
            </w:r>
          </w:p>
        </w:tc>
        <w:tc>
          <w:tcPr>
            <w:tcW w:w="345" w:type="pct"/>
            <w:shd w:val="clear" w:color="auto" w:fill="auto"/>
            <w:tcMar>
              <w:top w:w="15" w:type="dxa"/>
              <w:left w:w="15" w:type="dxa"/>
              <w:bottom w:w="0" w:type="dxa"/>
              <w:right w:w="15" w:type="dxa"/>
            </w:tcMar>
            <w:vAlign w:val="center"/>
            <w:hideMark/>
          </w:tcPr>
          <w:p w14:paraId="5207A3C1"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48BE9932" w14:textId="77777777" w:rsidTr="0075750D">
        <w:trPr>
          <w:trHeight w:val="66"/>
          <w:jc w:val="center"/>
        </w:trPr>
        <w:tc>
          <w:tcPr>
            <w:tcW w:w="166" w:type="pct"/>
            <w:shd w:val="clear" w:color="auto" w:fill="auto"/>
            <w:tcMar>
              <w:top w:w="15" w:type="dxa"/>
              <w:left w:w="15" w:type="dxa"/>
              <w:bottom w:w="0" w:type="dxa"/>
              <w:right w:w="15" w:type="dxa"/>
            </w:tcMar>
            <w:vAlign w:val="center"/>
            <w:hideMark/>
          </w:tcPr>
          <w:p w14:paraId="55BE0521"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44</w:t>
            </w:r>
          </w:p>
        </w:tc>
        <w:tc>
          <w:tcPr>
            <w:tcW w:w="726" w:type="pct"/>
            <w:shd w:val="clear" w:color="auto" w:fill="auto"/>
            <w:tcMar>
              <w:top w:w="15" w:type="dxa"/>
              <w:left w:w="15" w:type="dxa"/>
              <w:bottom w:w="0" w:type="dxa"/>
              <w:right w:w="15" w:type="dxa"/>
            </w:tcMar>
            <w:vAlign w:val="center"/>
            <w:hideMark/>
          </w:tcPr>
          <w:p w14:paraId="75D7AAB0"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Ningxia (</w:t>
            </w:r>
            <w:proofErr w:type="spellStart"/>
            <w:r w:rsidRPr="0024133B">
              <w:rPr>
                <w:rFonts w:ascii="Times New Roman" w:hAnsi="Times New Roman"/>
                <w:kern w:val="0"/>
                <w:szCs w:val="21"/>
              </w:rPr>
              <w:t>Jingyuan</w:t>
            </w:r>
            <w:proofErr w:type="spellEnd"/>
            <w:r w:rsidRPr="0024133B">
              <w:rPr>
                <w:rFonts w:ascii="Times New Roman" w:hAnsi="Times New Roman"/>
                <w:kern w:val="0"/>
                <w:szCs w:val="21"/>
              </w:rPr>
              <w:t xml:space="preserve">)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RXWeOzMn","properties":{"formattedCitation":"[93]","plainCitation":"[93]","noteIndex":0},"citationItems":[{"id":"IuHaWYsY/2u7aPksR","uris":["http://zotero.org/users/local/nuU8Soog/items/K7X5TX8G"],"itemData":{"id":200,"type":"article-journal","container-title":"Journal of Ecology and Rural Environment","page":"903-909","title":"The Ecological Compensation of the Grain for Green Project Based on Farmers' Willingness to Accept","volume":"34","author":[{"family":"Pi","given":"Hongyi"},{"family":"Zhang","given":"Mengxue"},{"family":"Xia","given":"Jianxin"}],"issued":{"date-parts":[["2018"]]}}}],"schema":"https://github.com/citation-style-language/schema/raw/master/csl-citation.json"}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[93]</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6DBC0AC2"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398</w:t>
            </w:r>
          </w:p>
          <w:p w14:paraId="61F5B92C"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households</w:t>
            </w:r>
          </w:p>
        </w:tc>
        <w:tc>
          <w:tcPr>
            <w:tcW w:w="332" w:type="pct"/>
            <w:shd w:val="clear" w:color="auto" w:fill="auto"/>
            <w:tcMar>
              <w:top w:w="15" w:type="dxa"/>
              <w:left w:w="15" w:type="dxa"/>
              <w:bottom w:w="0" w:type="dxa"/>
              <w:right w:w="15" w:type="dxa"/>
            </w:tcMar>
            <w:vAlign w:val="center"/>
            <w:hideMark/>
          </w:tcPr>
          <w:p w14:paraId="2ACDC133"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327990CD"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7CB4E90D"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435D9D18"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2017</w:t>
            </w:r>
          </w:p>
        </w:tc>
        <w:tc>
          <w:tcPr>
            <w:tcW w:w="544" w:type="pct"/>
            <w:shd w:val="clear" w:color="auto" w:fill="auto"/>
            <w:tcMar>
              <w:top w:w="15" w:type="dxa"/>
              <w:left w:w="15" w:type="dxa"/>
              <w:bottom w:w="0" w:type="dxa"/>
              <w:right w:w="15" w:type="dxa"/>
            </w:tcMar>
            <w:vAlign w:val="center"/>
            <w:hideMark/>
          </w:tcPr>
          <w:p w14:paraId="796087D8"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Income</w:t>
            </w:r>
          </w:p>
        </w:tc>
        <w:tc>
          <w:tcPr>
            <w:tcW w:w="498" w:type="pct"/>
            <w:shd w:val="clear" w:color="auto" w:fill="auto"/>
            <w:tcMar>
              <w:top w:w="15" w:type="dxa"/>
              <w:left w:w="15" w:type="dxa"/>
              <w:bottom w:w="0" w:type="dxa"/>
              <w:right w:w="15" w:type="dxa"/>
            </w:tcMar>
            <w:vAlign w:val="center"/>
            <w:hideMark/>
          </w:tcPr>
          <w:p w14:paraId="0748596A"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Education level</w:t>
            </w:r>
          </w:p>
        </w:tc>
        <w:tc>
          <w:tcPr>
            <w:tcW w:w="443" w:type="pct"/>
            <w:shd w:val="clear" w:color="auto" w:fill="auto"/>
            <w:tcMar>
              <w:top w:w="15" w:type="dxa"/>
              <w:left w:w="15" w:type="dxa"/>
              <w:bottom w:w="0" w:type="dxa"/>
              <w:right w:w="15" w:type="dxa"/>
            </w:tcMar>
            <w:vAlign w:val="center"/>
            <w:hideMark/>
          </w:tcPr>
          <w:p w14:paraId="7D9AF95E"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Sex</w:t>
            </w:r>
          </w:p>
        </w:tc>
        <w:tc>
          <w:tcPr>
            <w:tcW w:w="440" w:type="pct"/>
            <w:shd w:val="clear" w:color="auto" w:fill="auto"/>
            <w:tcMar>
              <w:top w:w="15" w:type="dxa"/>
              <w:left w:w="15" w:type="dxa"/>
              <w:bottom w:w="0" w:type="dxa"/>
              <w:right w:w="15" w:type="dxa"/>
            </w:tcMar>
            <w:vAlign w:val="center"/>
            <w:hideMark/>
          </w:tcPr>
          <w:p w14:paraId="3D5D7E63"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Arable land area</w:t>
            </w:r>
          </w:p>
        </w:tc>
        <w:tc>
          <w:tcPr>
            <w:tcW w:w="345" w:type="pct"/>
            <w:shd w:val="clear" w:color="auto" w:fill="auto"/>
            <w:tcMar>
              <w:top w:w="15" w:type="dxa"/>
              <w:left w:w="15" w:type="dxa"/>
              <w:bottom w:w="0" w:type="dxa"/>
              <w:right w:w="15" w:type="dxa"/>
            </w:tcMar>
            <w:vAlign w:val="center"/>
            <w:hideMark/>
          </w:tcPr>
          <w:p w14:paraId="46C683E4"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62F33235"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5307E50F"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45</w:t>
            </w:r>
          </w:p>
        </w:tc>
        <w:tc>
          <w:tcPr>
            <w:tcW w:w="726" w:type="pct"/>
            <w:shd w:val="clear" w:color="auto" w:fill="auto"/>
            <w:tcMar>
              <w:top w:w="15" w:type="dxa"/>
              <w:left w:w="15" w:type="dxa"/>
              <w:bottom w:w="0" w:type="dxa"/>
              <w:right w:w="15" w:type="dxa"/>
            </w:tcMar>
            <w:vAlign w:val="center"/>
            <w:hideMark/>
          </w:tcPr>
          <w:p w14:paraId="70EB5EBE"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 xml:space="preserve">Tropical and subtropical regions of China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9yeTvZsl","properties":{"formattedCitation":"[94]","plainCitation":"[94]","noteIndex":0},"citationItems":[{"id":"IuHaWYsY/EX4BTLEt","uris":["http://zotero.org/users/local/nuU8Soog/items/IRY5BEII"],"itemData":{"id":202,"type":"article-journal","abstract":"Ecocompensation projects (EPs) have two primary objectives: environmental protection and the livelihood maintenance of farmers. Farmers’ ecocompensation expectations (FEEs) are a key factor that affects whether the design of ecological policy is targeted at practical problems. This article divides FEEs into three dependent variables and uses logistic regression and multiple regression models to analyze the influencing factors of FEEs. The results of a questionnaire survey based on 259 farmers in the area of Returning Farmland to Forest Project, with tropical and subtropical regions of China included, show that, first, farmers’ willingness to participate in EPs is strong. Several indicators, such as policy cognition level, returned farmland area, and participation in other EPs, have been demonstrated to significantly affect farmers’ willingness to participate. Second, the result of the contingent valuation method shows that farmers’ expectations of compensation income are higher than the current standard. Farmers’ returned farmland area, participation in other EPs, and degree of satisfaction with the policy effect are primary influencing factors. Third, farmers’ expectations of compensation mode, such as employment opportunities, technical guidance, and ecological migration, are greatly improving. The choice of compensation mode is mainly affected by policy cognition level, current compensation mode for returning farmland, and degree of satisfaction with the policy effect. This study can provide a new perspective for the policy adjustment of eco-environmental protection and farmers’ livelihood choices in the tropical and subtropical regions of China.","container-title":"Tropical Conservation Science","DOI":"10.1177/1940082919857190","ISSN":"1940-0829","journalAbbreviation":"Tropical Conservation Science","language":"en","note":"publisher: SAGE Publications Inc","page":"1940082919857190","source":"SAGE Journals","title":"What Affects Farmers’ Ecocompensation Expectations? An Empirical Study of Returning Farmland to Forest in China","title-short":"What Affects Farmers’ Ecocompensation Expectations?","volume":"12","author":[{"family":"Zhang","given":"Baojian"},{"family":"Li","given":"Pengli"},{"family":"Xu","given":"Yan"},{"family":"Yue","given":"Xiaohang"}],"issued":{"date-parts":[["2019",1,1]]}}}],"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[94]</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109E8740"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259 households</w:t>
            </w:r>
          </w:p>
        </w:tc>
        <w:tc>
          <w:tcPr>
            <w:tcW w:w="332" w:type="pct"/>
            <w:shd w:val="clear" w:color="auto" w:fill="auto"/>
            <w:tcMar>
              <w:top w:w="15" w:type="dxa"/>
              <w:left w:w="15" w:type="dxa"/>
              <w:bottom w:w="0" w:type="dxa"/>
              <w:right w:w="15" w:type="dxa"/>
            </w:tcMar>
            <w:vAlign w:val="center"/>
            <w:hideMark/>
          </w:tcPr>
          <w:p w14:paraId="2CB76F34"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1431E646"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595BD0BD"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3263BD2D"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2018</w:t>
            </w:r>
          </w:p>
        </w:tc>
        <w:tc>
          <w:tcPr>
            <w:tcW w:w="544" w:type="pct"/>
            <w:shd w:val="clear" w:color="auto" w:fill="auto"/>
            <w:tcMar>
              <w:top w:w="15" w:type="dxa"/>
              <w:left w:w="15" w:type="dxa"/>
              <w:bottom w:w="0" w:type="dxa"/>
              <w:right w:w="15" w:type="dxa"/>
            </w:tcMar>
            <w:vAlign w:val="center"/>
            <w:hideMark/>
          </w:tcPr>
          <w:p w14:paraId="375D2B02"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Arable land area</w:t>
            </w:r>
          </w:p>
        </w:tc>
        <w:tc>
          <w:tcPr>
            <w:tcW w:w="498" w:type="pct"/>
            <w:shd w:val="clear" w:color="auto" w:fill="auto"/>
            <w:tcMar>
              <w:top w:w="15" w:type="dxa"/>
              <w:left w:w="15" w:type="dxa"/>
              <w:bottom w:w="0" w:type="dxa"/>
              <w:right w:w="15" w:type="dxa"/>
            </w:tcMar>
            <w:vAlign w:val="center"/>
            <w:hideMark/>
          </w:tcPr>
          <w:p w14:paraId="0C47C66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Policy cognition level</w:t>
            </w:r>
          </w:p>
        </w:tc>
        <w:tc>
          <w:tcPr>
            <w:tcW w:w="443" w:type="pct"/>
            <w:shd w:val="clear" w:color="auto" w:fill="auto"/>
            <w:tcMar>
              <w:top w:w="15" w:type="dxa"/>
              <w:left w:w="15" w:type="dxa"/>
              <w:bottom w:w="0" w:type="dxa"/>
              <w:right w:w="15" w:type="dxa"/>
            </w:tcMar>
            <w:vAlign w:val="center"/>
            <w:hideMark/>
          </w:tcPr>
          <w:p w14:paraId="3892BBED"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Participation in other eco-compensation project</w:t>
            </w:r>
          </w:p>
        </w:tc>
        <w:tc>
          <w:tcPr>
            <w:tcW w:w="440" w:type="pct"/>
            <w:shd w:val="clear" w:color="auto" w:fill="auto"/>
            <w:tcMar>
              <w:top w:w="15" w:type="dxa"/>
              <w:left w:w="15" w:type="dxa"/>
              <w:bottom w:w="0" w:type="dxa"/>
              <w:right w:w="15" w:type="dxa"/>
            </w:tcMar>
            <w:vAlign w:val="center"/>
            <w:hideMark/>
          </w:tcPr>
          <w:p w14:paraId="70404584" w14:textId="77777777" w:rsidR="00695CAB" w:rsidRPr="0024133B" w:rsidRDefault="00695CAB" w:rsidP="0075750D">
            <w:pPr>
              <w:widowControl/>
              <w:spacing w:before="120" w:after="120"/>
              <w:jc w:val="center"/>
              <w:rPr>
                <w:rFonts w:ascii="Times New Roman" w:hAnsi="Times New Roman"/>
                <w:kern w:val="0"/>
                <w:szCs w:val="21"/>
              </w:rPr>
            </w:pPr>
          </w:p>
        </w:tc>
        <w:tc>
          <w:tcPr>
            <w:tcW w:w="345" w:type="pct"/>
            <w:shd w:val="clear" w:color="auto" w:fill="auto"/>
            <w:tcMar>
              <w:top w:w="15" w:type="dxa"/>
              <w:left w:w="15" w:type="dxa"/>
              <w:bottom w:w="0" w:type="dxa"/>
              <w:right w:w="15" w:type="dxa"/>
            </w:tcMar>
            <w:vAlign w:val="center"/>
            <w:hideMark/>
          </w:tcPr>
          <w:p w14:paraId="6CB7D1A9" w14:textId="77777777" w:rsidR="00695CAB" w:rsidRPr="0024133B" w:rsidRDefault="00695CAB" w:rsidP="0075750D">
            <w:pPr>
              <w:widowControl/>
              <w:spacing w:before="120" w:after="120"/>
              <w:jc w:val="center"/>
              <w:rPr>
                <w:rFonts w:ascii="Times New Roman" w:hAnsi="Times New Roman"/>
                <w:kern w:val="0"/>
                <w:szCs w:val="21"/>
              </w:rPr>
            </w:pPr>
          </w:p>
        </w:tc>
      </w:tr>
      <w:tr w:rsidR="00695CAB" w:rsidRPr="0024133B" w14:paraId="222E8302"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26DA1829"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46</w:t>
            </w:r>
          </w:p>
        </w:tc>
        <w:tc>
          <w:tcPr>
            <w:tcW w:w="726" w:type="pct"/>
            <w:shd w:val="clear" w:color="auto" w:fill="auto"/>
            <w:tcMar>
              <w:top w:w="15" w:type="dxa"/>
              <w:left w:w="15" w:type="dxa"/>
              <w:bottom w:w="0" w:type="dxa"/>
              <w:right w:w="15" w:type="dxa"/>
            </w:tcMar>
            <w:vAlign w:val="center"/>
            <w:hideMark/>
          </w:tcPr>
          <w:p w14:paraId="17DDAEDE"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 xml:space="preserve">Sichuan (Wolong)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J3PGqzNF","properties":{"formattedCitation":"[95]","plainCitation":"[95]","noteIndex":0},"citationItems":[{"id":"IuHaWYsY/dupdWBGt","uris":["http://zotero.org/users/local/nuU8Soog/items/ESXBV886"],"itemData":{"id":206,"type":"article-journal","container-title":"Proceedings of the National Academy of Sciences","DOI":"10.1073/pnas.0809980106","ISSN":"0027-8424, 1091-6490","issue":"28","journalAbbreviation":"PNAS","language":"en","page":"11812-11817","source":"DOI.org (Crossref)","title":"Linking social norms to efficient conservation investment in payments for ecosystem services","volume":"106","author":[{"family":"Chen","given":"Xiaodong"},{"family":"Lupi","given":"Frank"},{"family":"He","given":"Guangming"},{"family":"Liu","given":"Jianguo"}],"issued":{"date-parts":[["2009",7,14]]}}}],"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[95]</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2E8A498D"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305 households</w:t>
            </w:r>
          </w:p>
        </w:tc>
        <w:tc>
          <w:tcPr>
            <w:tcW w:w="332" w:type="pct"/>
            <w:shd w:val="clear" w:color="auto" w:fill="auto"/>
            <w:tcMar>
              <w:top w:w="15" w:type="dxa"/>
              <w:left w:w="15" w:type="dxa"/>
              <w:bottom w:w="0" w:type="dxa"/>
              <w:right w:w="15" w:type="dxa"/>
            </w:tcMar>
            <w:vAlign w:val="center"/>
            <w:hideMark/>
          </w:tcPr>
          <w:p w14:paraId="0A3463F8"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16EBC7FC"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6E63CC6F"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05A6BFE1"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2006</w:t>
            </w:r>
          </w:p>
        </w:tc>
        <w:tc>
          <w:tcPr>
            <w:tcW w:w="544" w:type="pct"/>
            <w:shd w:val="clear" w:color="auto" w:fill="auto"/>
            <w:tcMar>
              <w:top w:w="15" w:type="dxa"/>
              <w:left w:w="15" w:type="dxa"/>
              <w:bottom w:w="0" w:type="dxa"/>
              <w:right w:w="15" w:type="dxa"/>
            </w:tcMar>
            <w:vAlign w:val="center"/>
            <w:hideMark/>
          </w:tcPr>
          <w:p w14:paraId="691BD076"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Social norms</w:t>
            </w:r>
          </w:p>
        </w:tc>
        <w:tc>
          <w:tcPr>
            <w:tcW w:w="498" w:type="pct"/>
            <w:shd w:val="clear" w:color="auto" w:fill="auto"/>
            <w:tcMar>
              <w:top w:w="15" w:type="dxa"/>
              <w:left w:w="15" w:type="dxa"/>
              <w:bottom w:w="0" w:type="dxa"/>
              <w:right w:w="15" w:type="dxa"/>
            </w:tcMar>
            <w:vAlign w:val="center"/>
            <w:hideMark/>
          </w:tcPr>
          <w:p w14:paraId="6B1921C5"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Financial incentive</w:t>
            </w:r>
          </w:p>
        </w:tc>
        <w:tc>
          <w:tcPr>
            <w:tcW w:w="443" w:type="pct"/>
            <w:shd w:val="clear" w:color="auto" w:fill="auto"/>
            <w:tcMar>
              <w:top w:w="15" w:type="dxa"/>
              <w:left w:w="15" w:type="dxa"/>
              <w:bottom w:w="0" w:type="dxa"/>
              <w:right w:w="15" w:type="dxa"/>
            </w:tcMar>
            <w:vAlign w:val="center"/>
            <w:hideMark/>
          </w:tcPr>
          <w:p w14:paraId="3E3179C7"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Arable land area</w:t>
            </w:r>
          </w:p>
        </w:tc>
        <w:tc>
          <w:tcPr>
            <w:tcW w:w="440" w:type="pct"/>
            <w:shd w:val="clear" w:color="auto" w:fill="auto"/>
            <w:tcMar>
              <w:top w:w="15" w:type="dxa"/>
              <w:left w:w="15" w:type="dxa"/>
              <w:bottom w:w="0" w:type="dxa"/>
              <w:right w:w="15" w:type="dxa"/>
            </w:tcMar>
            <w:vAlign w:val="center"/>
            <w:hideMark/>
          </w:tcPr>
          <w:p w14:paraId="0B19A0D6"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Age</w:t>
            </w:r>
          </w:p>
        </w:tc>
        <w:tc>
          <w:tcPr>
            <w:tcW w:w="345" w:type="pct"/>
            <w:shd w:val="clear" w:color="auto" w:fill="auto"/>
            <w:tcMar>
              <w:top w:w="15" w:type="dxa"/>
              <w:left w:w="15" w:type="dxa"/>
              <w:bottom w:w="0" w:type="dxa"/>
              <w:right w:w="15" w:type="dxa"/>
            </w:tcMar>
            <w:vAlign w:val="center"/>
            <w:hideMark/>
          </w:tcPr>
          <w:p w14:paraId="713BE78A"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Slope</w:t>
            </w:r>
          </w:p>
        </w:tc>
      </w:tr>
      <w:tr w:rsidR="00695CAB" w:rsidRPr="0024133B" w14:paraId="4804A572" w14:textId="77777777" w:rsidTr="0075750D">
        <w:trPr>
          <w:trHeight w:val="50"/>
          <w:jc w:val="center"/>
        </w:trPr>
        <w:tc>
          <w:tcPr>
            <w:tcW w:w="166" w:type="pct"/>
            <w:shd w:val="clear" w:color="auto" w:fill="auto"/>
            <w:tcMar>
              <w:top w:w="15" w:type="dxa"/>
              <w:left w:w="15" w:type="dxa"/>
              <w:bottom w:w="0" w:type="dxa"/>
              <w:right w:w="15" w:type="dxa"/>
            </w:tcMar>
            <w:vAlign w:val="center"/>
            <w:hideMark/>
          </w:tcPr>
          <w:p w14:paraId="6D64B087"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lastRenderedPageBreak/>
              <w:t>47</w:t>
            </w:r>
          </w:p>
        </w:tc>
        <w:tc>
          <w:tcPr>
            <w:tcW w:w="726" w:type="pct"/>
            <w:shd w:val="clear" w:color="auto" w:fill="auto"/>
            <w:tcMar>
              <w:top w:w="15" w:type="dxa"/>
              <w:left w:w="15" w:type="dxa"/>
              <w:bottom w:w="0" w:type="dxa"/>
              <w:right w:w="15" w:type="dxa"/>
            </w:tcMar>
            <w:vAlign w:val="center"/>
            <w:hideMark/>
          </w:tcPr>
          <w:p w14:paraId="4AD50BDA" w14:textId="77777777" w:rsidR="00695CAB" w:rsidRPr="0024133B" w:rsidRDefault="00695CAB" w:rsidP="0075750D">
            <w:pPr>
              <w:widowControl/>
              <w:spacing w:before="120" w:after="120"/>
              <w:jc w:val="center"/>
              <w:rPr>
                <w:rFonts w:ascii="Times New Roman" w:hAnsi="Times New Roman"/>
                <w:kern w:val="0"/>
                <w:szCs w:val="21"/>
              </w:rPr>
            </w:pPr>
            <w:proofErr w:type="spellStart"/>
            <w:r w:rsidRPr="0024133B">
              <w:rPr>
                <w:rFonts w:ascii="Times New Roman" w:hAnsi="Times New Roman"/>
                <w:kern w:val="0"/>
                <w:szCs w:val="21"/>
              </w:rPr>
              <w:t>Hunhe</w:t>
            </w:r>
            <w:proofErr w:type="spellEnd"/>
            <w:r w:rsidRPr="0024133B">
              <w:rPr>
                <w:rFonts w:ascii="Times New Roman" w:hAnsi="Times New Roman"/>
                <w:kern w:val="0"/>
                <w:szCs w:val="21"/>
              </w:rPr>
              <w:t xml:space="preserve"> River Basin </w:t>
            </w:r>
            <w:r w:rsidRPr="0024133B">
              <w:rPr>
                <w:rFonts w:ascii="Times New Roman" w:hAnsi="Times New Roman"/>
                <w:kern w:val="0"/>
                <w:szCs w:val="21"/>
              </w:rPr>
              <w:fldChar w:fldCharType="begin"/>
            </w:r>
            <w:r w:rsidRPr="0024133B">
              <w:rPr>
                <w:rFonts w:ascii="Times New Roman" w:hAnsi="Times New Roman"/>
                <w:kern w:val="0"/>
                <w:szCs w:val="21"/>
              </w:rPr>
              <w:instrText xml:space="preserve"> ADDIN ZOTERO_ITEM CSL_CITATION {"citationID":"HDrKiVyw","properties":{"formattedCitation":"[96]","plainCitation":"[96]","noteIndex":0},"citationItems":[{"id":"IuHaWYsY/ibkan22p","uris":["http://zotero.org/users/local/nuU8Soog/items/MVH37FTY"],"itemData":{"id":208,"type":"article-journal","container-title":"Journal of arid land resources and environment","page":"46-52","title":"Forest farmers' willingness to accept ecological compensation in the upstream of Hunhe river basin and its influential factors","volume":"32","author":[{"family":"Jiang","given":"Yuqi"},{"family":"Chen","given":"Ke"},{"family":"Chen","given":"Tongfeng"},{"family":"Xu","given":"Lifeng"},{"family":"Yang","given":"Shuhao"}],"issued":{"date-parts":[["2018"]]}}}],"schema":"https://github.com/citation-style-language/schema/raw/master/csl-citation.json"} </w:instrText>
            </w:r>
            <w:r w:rsidRPr="0024133B">
              <w:rPr>
                <w:rFonts w:ascii="Times New Roman" w:hAnsi="Times New Roman"/>
                <w:kern w:val="0"/>
                <w:szCs w:val="21"/>
              </w:rPr>
              <w:fldChar w:fldCharType="separate"/>
            </w:r>
            <w:r w:rsidRPr="0024133B">
              <w:rPr>
                <w:rFonts w:ascii="Times New Roman" w:hAnsi="Times New Roman"/>
              </w:rPr>
              <w:t>[96]</w:t>
            </w:r>
            <w:r w:rsidRPr="0024133B">
              <w:rPr>
                <w:rFonts w:ascii="Times New Roman" w:hAnsi="Times New Roman"/>
                <w:kern w:val="0"/>
                <w:szCs w:val="21"/>
              </w:rPr>
              <w:fldChar w:fldCharType="end"/>
            </w:r>
          </w:p>
        </w:tc>
        <w:tc>
          <w:tcPr>
            <w:tcW w:w="499" w:type="pct"/>
            <w:shd w:val="clear" w:color="auto" w:fill="auto"/>
            <w:tcMar>
              <w:top w:w="15" w:type="dxa"/>
              <w:left w:w="15" w:type="dxa"/>
              <w:bottom w:w="0" w:type="dxa"/>
              <w:right w:w="15" w:type="dxa"/>
            </w:tcMar>
            <w:vAlign w:val="center"/>
            <w:hideMark/>
          </w:tcPr>
          <w:p w14:paraId="6A3477BE"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355 households</w:t>
            </w:r>
          </w:p>
        </w:tc>
        <w:tc>
          <w:tcPr>
            <w:tcW w:w="332" w:type="pct"/>
            <w:shd w:val="clear" w:color="auto" w:fill="auto"/>
            <w:tcMar>
              <w:top w:w="15" w:type="dxa"/>
              <w:left w:w="15" w:type="dxa"/>
              <w:bottom w:w="0" w:type="dxa"/>
              <w:right w:w="15" w:type="dxa"/>
            </w:tcMar>
            <w:vAlign w:val="center"/>
            <w:hideMark/>
          </w:tcPr>
          <w:p w14:paraId="79E2B426"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092606E0" w14:textId="77777777" w:rsidR="00695CAB" w:rsidRPr="0024133B" w:rsidRDefault="00695CAB" w:rsidP="0075750D">
            <w:pPr>
              <w:widowControl/>
              <w:spacing w:before="120" w:after="120"/>
              <w:jc w:val="center"/>
              <w:rPr>
                <w:rFonts w:ascii="Times New Roman" w:hAnsi="Times New Roman"/>
                <w:kern w:val="0"/>
                <w:szCs w:val="21"/>
              </w:rPr>
            </w:pPr>
          </w:p>
        </w:tc>
        <w:tc>
          <w:tcPr>
            <w:tcW w:w="332" w:type="pct"/>
            <w:shd w:val="clear" w:color="auto" w:fill="auto"/>
            <w:tcMar>
              <w:top w:w="15" w:type="dxa"/>
              <w:left w:w="15" w:type="dxa"/>
              <w:bottom w:w="0" w:type="dxa"/>
              <w:right w:w="15" w:type="dxa"/>
            </w:tcMar>
            <w:vAlign w:val="center"/>
            <w:hideMark/>
          </w:tcPr>
          <w:p w14:paraId="12E2769A" w14:textId="77777777" w:rsidR="00695CAB" w:rsidRPr="0024133B" w:rsidRDefault="00695CAB" w:rsidP="0075750D">
            <w:pPr>
              <w:widowControl/>
              <w:spacing w:before="120" w:after="120"/>
              <w:jc w:val="center"/>
              <w:rPr>
                <w:rFonts w:ascii="Times New Roman" w:hAnsi="Times New Roman"/>
                <w:kern w:val="0"/>
                <w:szCs w:val="21"/>
              </w:rPr>
            </w:pPr>
          </w:p>
        </w:tc>
        <w:tc>
          <w:tcPr>
            <w:tcW w:w="343" w:type="pct"/>
            <w:shd w:val="clear" w:color="auto" w:fill="auto"/>
            <w:tcMar>
              <w:top w:w="15" w:type="dxa"/>
              <w:left w:w="15" w:type="dxa"/>
              <w:bottom w:w="0" w:type="dxa"/>
              <w:right w:w="15" w:type="dxa"/>
            </w:tcMar>
            <w:vAlign w:val="center"/>
            <w:hideMark/>
          </w:tcPr>
          <w:p w14:paraId="14ECA067"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2017</w:t>
            </w:r>
          </w:p>
        </w:tc>
        <w:tc>
          <w:tcPr>
            <w:tcW w:w="544" w:type="pct"/>
            <w:shd w:val="clear" w:color="auto" w:fill="auto"/>
            <w:tcMar>
              <w:top w:w="15" w:type="dxa"/>
              <w:left w:w="15" w:type="dxa"/>
              <w:bottom w:w="0" w:type="dxa"/>
              <w:right w:w="15" w:type="dxa"/>
            </w:tcMar>
            <w:vAlign w:val="center"/>
            <w:hideMark/>
          </w:tcPr>
          <w:p w14:paraId="54D25A92"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Age</w:t>
            </w:r>
          </w:p>
        </w:tc>
        <w:tc>
          <w:tcPr>
            <w:tcW w:w="498" w:type="pct"/>
            <w:shd w:val="clear" w:color="auto" w:fill="auto"/>
            <w:tcMar>
              <w:top w:w="15" w:type="dxa"/>
              <w:left w:w="15" w:type="dxa"/>
              <w:bottom w:w="0" w:type="dxa"/>
              <w:right w:w="15" w:type="dxa"/>
            </w:tcMar>
            <w:vAlign w:val="center"/>
            <w:hideMark/>
          </w:tcPr>
          <w:p w14:paraId="24E97400"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Opportunity cost (livelihood type)</w:t>
            </w:r>
          </w:p>
        </w:tc>
        <w:tc>
          <w:tcPr>
            <w:tcW w:w="443" w:type="pct"/>
            <w:shd w:val="clear" w:color="auto" w:fill="auto"/>
            <w:tcMar>
              <w:top w:w="15" w:type="dxa"/>
              <w:left w:w="15" w:type="dxa"/>
              <w:bottom w:w="0" w:type="dxa"/>
              <w:right w:w="15" w:type="dxa"/>
            </w:tcMar>
            <w:vAlign w:val="center"/>
            <w:hideMark/>
          </w:tcPr>
          <w:p w14:paraId="2B13D920"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Off-farm labor allocation</w:t>
            </w:r>
          </w:p>
        </w:tc>
        <w:tc>
          <w:tcPr>
            <w:tcW w:w="440" w:type="pct"/>
            <w:shd w:val="clear" w:color="auto" w:fill="auto"/>
            <w:tcMar>
              <w:top w:w="15" w:type="dxa"/>
              <w:left w:w="15" w:type="dxa"/>
              <w:bottom w:w="0" w:type="dxa"/>
              <w:right w:w="15" w:type="dxa"/>
            </w:tcMar>
            <w:vAlign w:val="center"/>
            <w:hideMark/>
          </w:tcPr>
          <w:p w14:paraId="337D7226" w14:textId="77777777" w:rsidR="00695CAB" w:rsidRPr="0024133B" w:rsidRDefault="00695CAB" w:rsidP="0075750D">
            <w:pPr>
              <w:widowControl/>
              <w:spacing w:before="120" w:after="120"/>
              <w:jc w:val="center"/>
              <w:rPr>
                <w:rFonts w:ascii="Times New Roman" w:hAnsi="Times New Roman"/>
                <w:kern w:val="0"/>
                <w:szCs w:val="21"/>
              </w:rPr>
            </w:pPr>
            <w:r w:rsidRPr="0024133B">
              <w:rPr>
                <w:rFonts w:ascii="Times New Roman" w:hAnsi="Times New Roman"/>
                <w:kern w:val="0"/>
                <w:szCs w:val="21"/>
              </w:rPr>
              <w:t>Forest management skills</w:t>
            </w:r>
          </w:p>
        </w:tc>
        <w:tc>
          <w:tcPr>
            <w:tcW w:w="345" w:type="pct"/>
            <w:shd w:val="clear" w:color="auto" w:fill="auto"/>
            <w:tcMar>
              <w:top w:w="15" w:type="dxa"/>
              <w:left w:w="15" w:type="dxa"/>
              <w:bottom w:w="0" w:type="dxa"/>
              <w:right w:w="15" w:type="dxa"/>
            </w:tcMar>
            <w:vAlign w:val="center"/>
            <w:hideMark/>
          </w:tcPr>
          <w:p w14:paraId="6E90E741" w14:textId="77777777" w:rsidR="00695CAB" w:rsidRPr="0024133B" w:rsidRDefault="00695CAB" w:rsidP="0075750D">
            <w:pPr>
              <w:widowControl/>
              <w:spacing w:before="120" w:after="120"/>
              <w:jc w:val="center"/>
              <w:rPr>
                <w:rFonts w:ascii="Times New Roman" w:hAnsi="Times New Roman"/>
                <w:kern w:val="0"/>
                <w:szCs w:val="21"/>
              </w:rPr>
            </w:pPr>
          </w:p>
        </w:tc>
      </w:tr>
    </w:tbl>
    <w:p w14:paraId="754BD190" w14:textId="77777777" w:rsidR="00695CAB" w:rsidRPr="0024133B" w:rsidRDefault="00695CAB" w:rsidP="00695CAB">
      <w:pPr>
        <w:snapToGrid w:val="0"/>
        <w:spacing w:before="120" w:after="120"/>
        <w:rPr>
          <w:sz w:val="18"/>
        </w:rPr>
      </w:pPr>
    </w:p>
    <w:p w14:paraId="78B388A1" w14:textId="77777777" w:rsidR="00695CAB" w:rsidRPr="0024133B" w:rsidRDefault="00695CAB" w:rsidP="00695CAB">
      <w:pPr>
        <w:snapToGrid w:val="0"/>
        <w:spacing w:before="120" w:after="120"/>
        <w:rPr>
          <w:rFonts w:ascii="Times New Roman" w:hAnsi="Times New Roman"/>
          <w:b/>
          <w:sz w:val="18"/>
        </w:rPr>
      </w:pPr>
    </w:p>
    <w:p w14:paraId="1A8D8A7E" w14:textId="77777777" w:rsidR="00695CAB" w:rsidRPr="0024133B" w:rsidRDefault="00695CAB" w:rsidP="00695CAB">
      <w:pPr>
        <w:snapToGrid w:val="0"/>
        <w:spacing w:beforeLines="50" w:before="120" w:afterLines="50" w:after="120" w:line="360" w:lineRule="auto"/>
        <w:rPr>
          <w:rFonts w:ascii="Times New Roman" w:hAnsi="Times New Roman"/>
          <w:b/>
        </w:rPr>
      </w:pPr>
      <w:r w:rsidRPr="0024133B">
        <w:rPr>
          <w:rFonts w:ascii="Times New Roman" w:hAnsi="Times New Roman"/>
          <w:b/>
        </w:rPr>
        <w:t xml:space="preserve"> </w:t>
      </w:r>
    </w:p>
    <w:p w14:paraId="4306BCF2" w14:textId="77777777" w:rsidR="00695CAB" w:rsidRPr="0024133B" w:rsidRDefault="00695CAB" w:rsidP="00695CAB">
      <w:pPr>
        <w:snapToGrid w:val="0"/>
        <w:spacing w:beforeLines="50" w:before="120" w:afterLines="50" w:after="120" w:line="360" w:lineRule="auto"/>
        <w:rPr>
          <w:rFonts w:ascii="Times New Roman" w:hAnsi="Times New Roman"/>
          <w:b/>
        </w:rPr>
      </w:pPr>
    </w:p>
    <w:p w14:paraId="748B5A17" w14:textId="77777777" w:rsidR="00695CAB" w:rsidRPr="0024133B" w:rsidRDefault="00695CAB" w:rsidP="00695CAB">
      <w:pPr>
        <w:snapToGrid w:val="0"/>
        <w:spacing w:beforeLines="50" w:before="120" w:afterLines="50" w:after="120" w:line="360" w:lineRule="auto"/>
        <w:rPr>
          <w:rFonts w:ascii="Times New Roman" w:hAnsi="Times New Roman"/>
          <w:b/>
        </w:rPr>
      </w:pPr>
    </w:p>
    <w:p w14:paraId="210C1DD1" w14:textId="77777777" w:rsidR="00695CAB" w:rsidRPr="0024133B" w:rsidRDefault="00695CAB" w:rsidP="00695CAB">
      <w:pPr>
        <w:snapToGrid w:val="0"/>
        <w:spacing w:beforeLines="50" w:before="120" w:afterLines="50" w:after="120" w:line="360" w:lineRule="auto"/>
        <w:rPr>
          <w:rFonts w:ascii="Times New Roman" w:hAnsi="Times New Roman"/>
          <w:b/>
        </w:rPr>
      </w:pPr>
    </w:p>
    <w:p w14:paraId="68E09F55" w14:textId="77777777" w:rsidR="00695CAB" w:rsidRPr="0024133B" w:rsidRDefault="00695CAB" w:rsidP="00695CAB">
      <w:pPr>
        <w:snapToGrid w:val="0"/>
        <w:spacing w:beforeLines="50" w:before="120" w:afterLines="50" w:after="120" w:line="360" w:lineRule="auto"/>
        <w:rPr>
          <w:rFonts w:ascii="Times New Roman" w:hAnsi="Times New Roman"/>
          <w:b/>
        </w:rPr>
      </w:pPr>
    </w:p>
    <w:p w14:paraId="0C4D79DE" w14:textId="77777777" w:rsidR="00695CAB" w:rsidRPr="0024133B" w:rsidRDefault="00695CAB" w:rsidP="00695CAB">
      <w:pPr>
        <w:snapToGrid w:val="0"/>
        <w:spacing w:beforeLines="50" w:before="120" w:afterLines="50" w:after="120" w:line="360" w:lineRule="auto"/>
        <w:rPr>
          <w:rFonts w:ascii="Times New Roman" w:hAnsi="Times New Roman"/>
          <w:b/>
        </w:rPr>
      </w:pPr>
    </w:p>
    <w:p w14:paraId="1348E20A" w14:textId="77777777" w:rsidR="00695CAB" w:rsidRPr="0024133B" w:rsidRDefault="00695CAB" w:rsidP="00695CAB">
      <w:pPr>
        <w:snapToGrid w:val="0"/>
        <w:spacing w:beforeLines="50" w:before="120" w:afterLines="50" w:after="120" w:line="360" w:lineRule="auto"/>
        <w:rPr>
          <w:rFonts w:ascii="Times New Roman" w:hAnsi="Times New Roman"/>
          <w:b/>
        </w:rPr>
      </w:pPr>
    </w:p>
    <w:p w14:paraId="6E14496F" w14:textId="77777777" w:rsidR="00695CAB" w:rsidRPr="0024133B" w:rsidRDefault="00695CAB" w:rsidP="00695CAB">
      <w:pPr>
        <w:snapToGrid w:val="0"/>
        <w:spacing w:beforeLines="50" w:before="120" w:afterLines="50" w:after="120" w:line="360" w:lineRule="auto"/>
        <w:rPr>
          <w:rFonts w:ascii="Times New Roman" w:hAnsi="Times New Roman"/>
          <w:b/>
        </w:rPr>
      </w:pPr>
    </w:p>
    <w:p w14:paraId="1B52232F" w14:textId="77777777" w:rsidR="00695CAB" w:rsidRPr="0024133B" w:rsidRDefault="00695CAB" w:rsidP="00695CAB">
      <w:pPr>
        <w:snapToGrid w:val="0"/>
        <w:spacing w:beforeLines="50" w:before="120" w:afterLines="50" w:after="120" w:line="360" w:lineRule="auto"/>
        <w:rPr>
          <w:rFonts w:ascii="Times New Roman" w:hAnsi="Times New Roman"/>
          <w:b/>
        </w:rPr>
      </w:pPr>
    </w:p>
    <w:p w14:paraId="391C7F4B" w14:textId="77777777" w:rsidR="00695CAB" w:rsidRPr="0024133B" w:rsidRDefault="00695CAB" w:rsidP="00695CAB">
      <w:pPr>
        <w:snapToGrid w:val="0"/>
        <w:spacing w:beforeLines="50" w:before="120" w:afterLines="50" w:after="120" w:line="360" w:lineRule="auto"/>
        <w:rPr>
          <w:rFonts w:ascii="Times New Roman" w:hAnsi="Times New Roman"/>
          <w:b/>
        </w:rPr>
      </w:pPr>
    </w:p>
    <w:p w14:paraId="154C2316" w14:textId="77777777" w:rsidR="00695CAB" w:rsidRPr="0024133B" w:rsidRDefault="00695CAB" w:rsidP="00695CAB">
      <w:pPr>
        <w:snapToGrid w:val="0"/>
        <w:spacing w:beforeLines="50" w:before="120" w:afterLines="50" w:after="120" w:line="360" w:lineRule="auto"/>
        <w:rPr>
          <w:rFonts w:ascii="Times New Roman" w:hAnsi="Times New Roman"/>
          <w:b/>
        </w:rPr>
      </w:pPr>
    </w:p>
    <w:p w14:paraId="24EAB75E" w14:textId="29F11587" w:rsidR="00695CAB" w:rsidRPr="0024133B" w:rsidRDefault="00695CAB" w:rsidP="00695CAB">
      <w:pPr>
        <w:snapToGrid w:val="0"/>
        <w:spacing w:beforeLines="50" w:before="120" w:afterLines="50" w:after="120" w:line="360" w:lineRule="auto"/>
        <w:rPr>
          <w:rFonts w:ascii="Times New Roman" w:hAnsi="Times New Roman"/>
        </w:rPr>
      </w:pPr>
      <w:r w:rsidRPr="0024133B">
        <w:rPr>
          <w:rFonts w:ascii="Times New Roman" w:hAnsi="Times New Roman"/>
          <w:b/>
        </w:rPr>
        <w:t xml:space="preserve">Table </w:t>
      </w:r>
      <w:r w:rsidR="000677D1">
        <w:rPr>
          <w:rFonts w:ascii="Times New Roman" w:hAnsi="Times New Roman"/>
          <w:b/>
        </w:rPr>
        <w:t>S</w:t>
      </w:r>
      <w:r w:rsidRPr="0024133B">
        <w:rPr>
          <w:rFonts w:ascii="Times New Roman" w:hAnsi="Times New Roman"/>
          <w:b/>
        </w:rPr>
        <w:t xml:space="preserve">2 </w:t>
      </w:r>
      <w:r w:rsidRPr="0024133B">
        <w:rPr>
          <w:rFonts w:ascii="Times New Roman" w:hAnsi="Times New Roman"/>
        </w:rPr>
        <w:t>Key social-ecological variables of the CCFP implementation probability of cropland plot simulation</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83"/>
        <w:gridCol w:w="1748"/>
        <w:gridCol w:w="3326"/>
        <w:gridCol w:w="4489"/>
        <w:gridCol w:w="1784"/>
      </w:tblGrid>
      <w:tr w:rsidR="00695CAB" w:rsidRPr="0024133B" w14:paraId="2C515BD2" w14:textId="77777777" w:rsidTr="0075750D">
        <w:trPr>
          <w:trHeight w:val="285"/>
          <w:jc w:val="center"/>
        </w:trPr>
        <w:tc>
          <w:tcPr>
            <w:tcW w:w="612" w:type="pct"/>
            <w:tcBorders>
              <w:top w:val="single" w:sz="12" w:space="0" w:color="auto"/>
              <w:bottom w:val="single" w:sz="4" w:space="0" w:color="auto"/>
            </w:tcBorders>
            <w:shd w:val="clear" w:color="auto" w:fill="D9D9D9" w:themeFill="background1" w:themeFillShade="D9"/>
            <w:noWrap/>
            <w:tcMar>
              <w:top w:w="15" w:type="dxa"/>
              <w:left w:w="15" w:type="dxa"/>
              <w:bottom w:w="0" w:type="dxa"/>
              <w:right w:w="15" w:type="dxa"/>
            </w:tcMar>
            <w:vAlign w:val="center"/>
            <w:hideMark/>
          </w:tcPr>
          <w:p w14:paraId="5B8969B6" w14:textId="77777777" w:rsidR="00695CAB" w:rsidRPr="0024133B" w:rsidRDefault="00695CAB" w:rsidP="0075750D">
            <w:pPr>
              <w:snapToGrid w:val="0"/>
              <w:spacing w:beforeLines="30" w:before="72" w:afterLines="30" w:after="72"/>
              <w:rPr>
                <w:rFonts w:ascii="Times New Roman" w:hAnsi="Times New Roman"/>
                <w:szCs w:val="21"/>
              </w:rPr>
            </w:pPr>
          </w:p>
        </w:tc>
        <w:tc>
          <w:tcPr>
            <w:tcW w:w="676" w:type="pct"/>
            <w:tcBorders>
              <w:top w:val="single" w:sz="12" w:space="0" w:color="auto"/>
              <w:bottom w:val="single" w:sz="4" w:space="0" w:color="auto"/>
            </w:tcBorders>
            <w:shd w:val="clear" w:color="auto" w:fill="D9D9D9" w:themeFill="background1" w:themeFillShade="D9"/>
            <w:noWrap/>
            <w:tcMar>
              <w:top w:w="15" w:type="dxa"/>
              <w:left w:w="15" w:type="dxa"/>
              <w:bottom w:w="0" w:type="dxa"/>
              <w:right w:w="15" w:type="dxa"/>
            </w:tcMar>
            <w:vAlign w:val="center"/>
            <w:hideMark/>
          </w:tcPr>
          <w:p w14:paraId="41A95FC8" w14:textId="77777777" w:rsidR="00695CAB" w:rsidRPr="0024133B" w:rsidRDefault="00695CAB" w:rsidP="0075750D">
            <w:pPr>
              <w:snapToGrid w:val="0"/>
              <w:spacing w:beforeLines="30" w:before="72" w:afterLines="30" w:after="72"/>
              <w:jc w:val="center"/>
              <w:rPr>
                <w:rFonts w:ascii="Times New Roman" w:hAnsi="Times New Roman"/>
                <w:b/>
                <w:szCs w:val="21"/>
              </w:rPr>
            </w:pPr>
            <w:r w:rsidRPr="0024133B">
              <w:rPr>
                <w:rFonts w:ascii="Times New Roman" w:hAnsi="Times New Roman"/>
                <w:b/>
                <w:szCs w:val="21"/>
              </w:rPr>
              <w:t>Factor</w:t>
            </w:r>
          </w:p>
        </w:tc>
        <w:tc>
          <w:tcPr>
            <w:tcW w:w="1286" w:type="pct"/>
            <w:tcBorders>
              <w:top w:val="single" w:sz="12" w:space="0" w:color="auto"/>
              <w:bottom w:val="single" w:sz="4" w:space="0" w:color="auto"/>
            </w:tcBorders>
            <w:shd w:val="clear" w:color="auto" w:fill="D9D9D9" w:themeFill="background1" w:themeFillShade="D9"/>
            <w:noWrap/>
            <w:tcMar>
              <w:top w:w="15" w:type="dxa"/>
              <w:left w:w="15" w:type="dxa"/>
              <w:bottom w:w="0" w:type="dxa"/>
              <w:right w:w="15" w:type="dxa"/>
            </w:tcMar>
            <w:vAlign w:val="center"/>
            <w:hideMark/>
          </w:tcPr>
          <w:p w14:paraId="19CC4E61" w14:textId="77777777" w:rsidR="00695CAB" w:rsidRPr="0024133B" w:rsidRDefault="00695CAB" w:rsidP="0075750D">
            <w:pPr>
              <w:snapToGrid w:val="0"/>
              <w:spacing w:beforeLines="30" w:before="72" w:afterLines="30" w:after="72"/>
              <w:jc w:val="center"/>
              <w:rPr>
                <w:rFonts w:ascii="Times New Roman" w:hAnsi="Times New Roman"/>
                <w:b/>
                <w:szCs w:val="21"/>
              </w:rPr>
            </w:pPr>
            <w:r w:rsidRPr="0024133B">
              <w:rPr>
                <w:rFonts w:ascii="Times New Roman" w:hAnsi="Times New Roman"/>
                <w:b/>
                <w:szCs w:val="21"/>
              </w:rPr>
              <w:t>Index</w:t>
            </w:r>
          </w:p>
        </w:tc>
        <w:tc>
          <w:tcPr>
            <w:tcW w:w="1736" w:type="pct"/>
            <w:tcBorders>
              <w:top w:val="single" w:sz="12" w:space="0" w:color="auto"/>
              <w:bottom w:val="single" w:sz="4" w:space="0" w:color="auto"/>
            </w:tcBorders>
            <w:shd w:val="clear" w:color="auto" w:fill="D9D9D9" w:themeFill="background1" w:themeFillShade="D9"/>
            <w:noWrap/>
            <w:tcMar>
              <w:top w:w="15" w:type="dxa"/>
              <w:left w:w="15" w:type="dxa"/>
              <w:bottom w:w="0" w:type="dxa"/>
              <w:right w:w="15" w:type="dxa"/>
            </w:tcMar>
            <w:vAlign w:val="center"/>
            <w:hideMark/>
          </w:tcPr>
          <w:p w14:paraId="4DE7A718" w14:textId="77777777" w:rsidR="00695CAB" w:rsidRPr="0024133B" w:rsidRDefault="00695CAB" w:rsidP="0075750D">
            <w:pPr>
              <w:snapToGrid w:val="0"/>
              <w:spacing w:beforeLines="30" w:before="72" w:afterLines="30" w:after="72"/>
              <w:jc w:val="center"/>
              <w:rPr>
                <w:rFonts w:ascii="Times New Roman" w:hAnsi="Times New Roman"/>
                <w:b/>
                <w:szCs w:val="21"/>
              </w:rPr>
            </w:pPr>
            <w:r w:rsidRPr="0024133B">
              <w:rPr>
                <w:rFonts w:ascii="Times New Roman" w:hAnsi="Times New Roman"/>
                <w:b/>
                <w:szCs w:val="21"/>
              </w:rPr>
              <w:t>Data source</w:t>
            </w:r>
          </w:p>
        </w:tc>
        <w:tc>
          <w:tcPr>
            <w:tcW w:w="690" w:type="pct"/>
            <w:tcBorders>
              <w:top w:val="single" w:sz="12" w:space="0" w:color="auto"/>
              <w:bottom w:val="single" w:sz="4" w:space="0" w:color="auto"/>
            </w:tcBorders>
            <w:shd w:val="clear" w:color="auto" w:fill="D9D9D9" w:themeFill="background1" w:themeFillShade="D9"/>
            <w:noWrap/>
            <w:tcMar>
              <w:top w:w="15" w:type="dxa"/>
              <w:left w:w="15" w:type="dxa"/>
              <w:bottom w:w="0" w:type="dxa"/>
              <w:right w:w="15" w:type="dxa"/>
            </w:tcMar>
            <w:vAlign w:val="center"/>
            <w:hideMark/>
          </w:tcPr>
          <w:p w14:paraId="4B0224FA" w14:textId="77777777" w:rsidR="00695CAB" w:rsidRPr="0024133B" w:rsidRDefault="00695CAB" w:rsidP="0075750D">
            <w:pPr>
              <w:snapToGrid w:val="0"/>
              <w:spacing w:beforeLines="30" w:before="72" w:afterLines="30" w:after="72"/>
              <w:jc w:val="center"/>
              <w:rPr>
                <w:rFonts w:ascii="Times New Roman" w:hAnsi="Times New Roman"/>
                <w:b/>
                <w:szCs w:val="21"/>
              </w:rPr>
            </w:pPr>
            <w:r w:rsidRPr="0024133B">
              <w:rPr>
                <w:rFonts w:ascii="Times New Roman" w:hAnsi="Times New Roman"/>
                <w:b/>
                <w:szCs w:val="21"/>
              </w:rPr>
              <w:t>Resolution</w:t>
            </w:r>
          </w:p>
        </w:tc>
      </w:tr>
      <w:tr w:rsidR="00695CAB" w:rsidRPr="0024133B" w14:paraId="5DCB9A86" w14:textId="77777777" w:rsidTr="0075750D">
        <w:trPr>
          <w:trHeight w:val="285"/>
          <w:jc w:val="center"/>
        </w:trPr>
        <w:tc>
          <w:tcPr>
            <w:tcW w:w="612" w:type="pct"/>
            <w:vMerge w:val="restart"/>
            <w:tcBorders>
              <w:top w:val="single" w:sz="4" w:space="0" w:color="auto"/>
            </w:tcBorders>
            <w:noWrap/>
            <w:tcMar>
              <w:top w:w="15" w:type="dxa"/>
              <w:left w:w="15" w:type="dxa"/>
              <w:bottom w:w="0" w:type="dxa"/>
              <w:right w:w="15" w:type="dxa"/>
            </w:tcMar>
            <w:vAlign w:val="center"/>
            <w:hideMark/>
          </w:tcPr>
          <w:p w14:paraId="483C4854" w14:textId="77777777" w:rsidR="00695CAB" w:rsidRPr="0024133B" w:rsidRDefault="00695CAB" w:rsidP="0075750D">
            <w:pPr>
              <w:spacing w:before="120" w:after="120"/>
              <w:jc w:val="left"/>
              <w:rPr>
                <w:rFonts w:ascii="Times New Roman" w:hAnsi="Times New Roman"/>
                <w:b/>
                <w:szCs w:val="21"/>
              </w:rPr>
            </w:pPr>
            <w:r w:rsidRPr="0024133B">
              <w:rPr>
                <w:rFonts w:ascii="Times New Roman" w:hAnsi="Times New Roman"/>
                <w:b/>
                <w:szCs w:val="21"/>
              </w:rPr>
              <w:t>Biophysical factor</w:t>
            </w:r>
          </w:p>
        </w:tc>
        <w:tc>
          <w:tcPr>
            <w:tcW w:w="676" w:type="pct"/>
            <w:tcBorders>
              <w:top w:val="single" w:sz="4" w:space="0" w:color="auto"/>
            </w:tcBorders>
            <w:noWrap/>
            <w:tcMar>
              <w:top w:w="15" w:type="dxa"/>
              <w:left w:w="15" w:type="dxa"/>
              <w:bottom w:w="0" w:type="dxa"/>
              <w:right w:w="15" w:type="dxa"/>
            </w:tcMar>
            <w:vAlign w:val="center"/>
            <w:hideMark/>
          </w:tcPr>
          <w:p w14:paraId="4BAF8B77"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szCs w:val="21"/>
              </w:rPr>
              <w:t>Slope</w:t>
            </w:r>
          </w:p>
        </w:tc>
        <w:tc>
          <w:tcPr>
            <w:tcW w:w="1286" w:type="pct"/>
            <w:tcBorders>
              <w:top w:val="single" w:sz="4" w:space="0" w:color="auto"/>
            </w:tcBorders>
            <w:noWrap/>
            <w:tcMar>
              <w:top w:w="15" w:type="dxa"/>
              <w:left w:w="15" w:type="dxa"/>
              <w:bottom w:w="0" w:type="dxa"/>
              <w:right w:w="15" w:type="dxa"/>
            </w:tcMar>
            <w:vAlign w:val="center"/>
            <w:hideMark/>
          </w:tcPr>
          <w:p w14:paraId="288642FA"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szCs w:val="21"/>
              </w:rPr>
              <w:t>Slope obtained from DEM</w:t>
            </w:r>
          </w:p>
        </w:tc>
        <w:tc>
          <w:tcPr>
            <w:tcW w:w="1736" w:type="pct"/>
            <w:tcBorders>
              <w:top w:val="single" w:sz="4" w:space="0" w:color="auto"/>
            </w:tcBorders>
            <w:noWrap/>
            <w:tcMar>
              <w:top w:w="15" w:type="dxa"/>
              <w:left w:w="15" w:type="dxa"/>
              <w:bottom w:w="0" w:type="dxa"/>
              <w:right w:w="15" w:type="dxa"/>
            </w:tcMar>
            <w:vAlign w:val="center"/>
            <w:hideMark/>
          </w:tcPr>
          <w:p w14:paraId="41C43621"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szCs w:val="21"/>
              </w:rPr>
              <w:t>U.S. Geological Survey (USGS)</w:t>
            </w:r>
          </w:p>
        </w:tc>
        <w:tc>
          <w:tcPr>
            <w:tcW w:w="690" w:type="pct"/>
            <w:tcBorders>
              <w:top w:val="single" w:sz="4" w:space="0" w:color="auto"/>
            </w:tcBorders>
            <w:noWrap/>
            <w:tcMar>
              <w:top w:w="15" w:type="dxa"/>
              <w:left w:w="15" w:type="dxa"/>
              <w:bottom w:w="0" w:type="dxa"/>
              <w:right w:w="15" w:type="dxa"/>
            </w:tcMar>
            <w:vAlign w:val="center"/>
            <w:hideMark/>
          </w:tcPr>
          <w:p w14:paraId="1F5D6A81"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szCs w:val="21"/>
              </w:rPr>
              <w:t>90 m</w:t>
            </w:r>
          </w:p>
        </w:tc>
      </w:tr>
      <w:tr w:rsidR="00695CAB" w:rsidRPr="0024133B" w14:paraId="41CF5C1B" w14:textId="77777777" w:rsidTr="0075750D">
        <w:trPr>
          <w:trHeight w:val="285"/>
          <w:jc w:val="center"/>
        </w:trPr>
        <w:tc>
          <w:tcPr>
            <w:tcW w:w="612" w:type="pct"/>
            <w:vMerge/>
            <w:vAlign w:val="center"/>
            <w:hideMark/>
          </w:tcPr>
          <w:p w14:paraId="66F3E157" w14:textId="77777777" w:rsidR="00695CAB" w:rsidRPr="0024133B" w:rsidRDefault="00695CAB" w:rsidP="0075750D">
            <w:pPr>
              <w:widowControl/>
              <w:spacing w:before="120" w:after="120"/>
              <w:jc w:val="left"/>
              <w:rPr>
                <w:rFonts w:ascii="Times New Roman" w:hAnsi="Times New Roman"/>
                <w:b/>
                <w:szCs w:val="21"/>
              </w:rPr>
            </w:pPr>
          </w:p>
        </w:tc>
        <w:tc>
          <w:tcPr>
            <w:tcW w:w="676" w:type="pct"/>
            <w:noWrap/>
            <w:tcMar>
              <w:top w:w="15" w:type="dxa"/>
              <w:left w:w="15" w:type="dxa"/>
              <w:bottom w:w="0" w:type="dxa"/>
              <w:right w:w="15" w:type="dxa"/>
            </w:tcMar>
            <w:vAlign w:val="center"/>
            <w:hideMark/>
          </w:tcPr>
          <w:p w14:paraId="3518BE91" w14:textId="77777777" w:rsidR="00695CAB" w:rsidRPr="0024133B" w:rsidRDefault="00695CAB" w:rsidP="0075750D">
            <w:pPr>
              <w:snapToGrid w:val="0"/>
              <w:spacing w:beforeLines="30" w:before="72" w:afterLines="30" w:after="72"/>
              <w:jc w:val="left"/>
              <w:rPr>
                <w:rFonts w:ascii="Times New Roman" w:hAnsi="Times New Roman"/>
                <w:szCs w:val="21"/>
              </w:rPr>
            </w:pPr>
            <w:bookmarkStart w:id="2" w:name="_Hlk89036816"/>
            <w:r w:rsidRPr="0024133B">
              <w:rPr>
                <w:rFonts w:ascii="Times New Roman" w:hAnsi="Times New Roman"/>
                <w:szCs w:val="21"/>
              </w:rPr>
              <w:t>Opportunity costs</w:t>
            </w:r>
            <w:bookmarkEnd w:id="2"/>
          </w:p>
        </w:tc>
        <w:tc>
          <w:tcPr>
            <w:tcW w:w="1286" w:type="pct"/>
            <w:noWrap/>
            <w:tcMar>
              <w:top w:w="15" w:type="dxa"/>
              <w:left w:w="15" w:type="dxa"/>
              <w:bottom w:w="0" w:type="dxa"/>
              <w:right w:w="15" w:type="dxa"/>
            </w:tcMar>
            <w:vAlign w:val="center"/>
            <w:hideMark/>
          </w:tcPr>
          <w:p w14:paraId="1153931A"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szCs w:val="21"/>
              </w:rPr>
              <w:t>Average grain yield (2000–2015)</w:t>
            </w:r>
          </w:p>
        </w:tc>
        <w:tc>
          <w:tcPr>
            <w:tcW w:w="1736" w:type="pct"/>
            <w:noWrap/>
            <w:tcMar>
              <w:top w:w="15" w:type="dxa"/>
              <w:left w:w="15" w:type="dxa"/>
              <w:bottom w:w="0" w:type="dxa"/>
              <w:right w:w="15" w:type="dxa"/>
            </w:tcMar>
            <w:vAlign w:val="center"/>
            <w:hideMark/>
          </w:tcPr>
          <w:p w14:paraId="4E3EF86D"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szCs w:val="21"/>
              </w:rPr>
              <w:t>Chinese Academy of Agricultural Science</w:t>
            </w:r>
          </w:p>
        </w:tc>
        <w:tc>
          <w:tcPr>
            <w:tcW w:w="690" w:type="pct"/>
            <w:noWrap/>
            <w:tcMar>
              <w:top w:w="15" w:type="dxa"/>
              <w:left w:w="15" w:type="dxa"/>
              <w:bottom w:w="0" w:type="dxa"/>
              <w:right w:w="15" w:type="dxa"/>
            </w:tcMar>
            <w:vAlign w:val="center"/>
            <w:hideMark/>
          </w:tcPr>
          <w:p w14:paraId="60CD5F56"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szCs w:val="21"/>
              </w:rPr>
              <w:t>County-level</w:t>
            </w:r>
          </w:p>
        </w:tc>
      </w:tr>
      <w:tr w:rsidR="00695CAB" w:rsidRPr="0024133B" w14:paraId="545B1410" w14:textId="77777777" w:rsidTr="0075750D">
        <w:trPr>
          <w:trHeight w:val="285"/>
          <w:jc w:val="center"/>
        </w:trPr>
        <w:tc>
          <w:tcPr>
            <w:tcW w:w="612" w:type="pct"/>
            <w:vMerge w:val="restart"/>
            <w:noWrap/>
            <w:tcMar>
              <w:top w:w="15" w:type="dxa"/>
              <w:left w:w="15" w:type="dxa"/>
              <w:bottom w:w="0" w:type="dxa"/>
              <w:right w:w="15" w:type="dxa"/>
            </w:tcMar>
            <w:vAlign w:val="center"/>
          </w:tcPr>
          <w:p w14:paraId="4B0D46EF" w14:textId="77777777" w:rsidR="00695CAB" w:rsidRPr="0024133B" w:rsidRDefault="00695CAB" w:rsidP="0075750D">
            <w:pPr>
              <w:spacing w:before="120" w:after="120"/>
              <w:jc w:val="left"/>
              <w:rPr>
                <w:rFonts w:ascii="Times New Roman" w:hAnsi="Times New Roman"/>
                <w:b/>
                <w:szCs w:val="21"/>
              </w:rPr>
            </w:pPr>
            <w:r w:rsidRPr="0024133B">
              <w:rPr>
                <w:rFonts w:ascii="Times New Roman" w:hAnsi="Times New Roman"/>
                <w:b/>
                <w:szCs w:val="21"/>
              </w:rPr>
              <w:t>Socio-economic factor</w:t>
            </w:r>
          </w:p>
        </w:tc>
        <w:tc>
          <w:tcPr>
            <w:tcW w:w="1962" w:type="pct"/>
            <w:gridSpan w:val="2"/>
            <w:noWrap/>
            <w:tcMar>
              <w:top w:w="15" w:type="dxa"/>
              <w:left w:w="15" w:type="dxa"/>
              <w:bottom w:w="0" w:type="dxa"/>
              <w:right w:w="15" w:type="dxa"/>
            </w:tcMar>
            <w:vAlign w:val="center"/>
          </w:tcPr>
          <w:p w14:paraId="57671178" w14:textId="77777777" w:rsidR="00695CAB" w:rsidRPr="0024133B" w:rsidRDefault="00695CAB" w:rsidP="0075750D">
            <w:pPr>
              <w:snapToGrid w:val="0"/>
              <w:spacing w:beforeLines="30" w:before="72" w:afterLines="30" w:after="72"/>
              <w:jc w:val="left"/>
              <w:rPr>
                <w:rFonts w:ascii="Times New Roman" w:hAnsi="Times New Roman"/>
                <w:szCs w:val="21"/>
              </w:rPr>
            </w:pPr>
            <w:bookmarkStart w:id="3" w:name="_Hlk89036887"/>
            <w:r w:rsidRPr="0024133B">
              <w:rPr>
                <w:rFonts w:ascii="Times New Roman" w:hAnsi="Times New Roman"/>
                <w:szCs w:val="21"/>
              </w:rPr>
              <w:t>Distance from croplands to road</w:t>
            </w:r>
            <w:bookmarkEnd w:id="3"/>
          </w:p>
        </w:tc>
        <w:tc>
          <w:tcPr>
            <w:tcW w:w="1736" w:type="pct"/>
            <w:noWrap/>
            <w:tcMar>
              <w:top w:w="15" w:type="dxa"/>
              <w:left w:w="15" w:type="dxa"/>
              <w:bottom w:w="0" w:type="dxa"/>
              <w:right w:w="15" w:type="dxa"/>
            </w:tcMar>
            <w:vAlign w:val="center"/>
          </w:tcPr>
          <w:p w14:paraId="28160FD9" w14:textId="77777777" w:rsidR="00695CAB" w:rsidRPr="0024133B" w:rsidRDefault="00695CAB" w:rsidP="0075750D">
            <w:pPr>
              <w:widowControl/>
              <w:spacing w:before="120" w:after="120"/>
              <w:jc w:val="left"/>
              <w:rPr>
                <w:rFonts w:ascii="Times New Roman" w:hAnsi="Times New Roman"/>
                <w:kern w:val="0"/>
                <w:szCs w:val="21"/>
              </w:rPr>
            </w:pPr>
            <w:r w:rsidRPr="0024133B">
              <w:rPr>
                <w:rFonts w:ascii="Times New Roman" w:hAnsi="Times New Roman"/>
                <w:kern w:val="0"/>
                <w:szCs w:val="21"/>
              </w:rPr>
              <w:t>China highway map</w:t>
            </w:r>
          </w:p>
          <w:p w14:paraId="716AB6D8"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kern w:val="0"/>
                <w:szCs w:val="21"/>
              </w:rPr>
              <w:t>(China Communications Publishing, 2006)</w:t>
            </w:r>
          </w:p>
        </w:tc>
        <w:tc>
          <w:tcPr>
            <w:tcW w:w="690" w:type="pct"/>
            <w:noWrap/>
            <w:tcMar>
              <w:top w:w="15" w:type="dxa"/>
              <w:left w:w="15" w:type="dxa"/>
              <w:bottom w:w="0" w:type="dxa"/>
              <w:right w:w="15" w:type="dxa"/>
            </w:tcMar>
            <w:vAlign w:val="center"/>
          </w:tcPr>
          <w:p w14:paraId="25F57375"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kern w:val="0"/>
                <w:szCs w:val="21"/>
              </w:rPr>
              <w:t>SHP file</w:t>
            </w:r>
          </w:p>
        </w:tc>
      </w:tr>
      <w:tr w:rsidR="00695CAB" w:rsidRPr="0024133B" w14:paraId="0A0465FA" w14:textId="77777777" w:rsidTr="0075750D">
        <w:trPr>
          <w:trHeight w:val="285"/>
          <w:jc w:val="center"/>
        </w:trPr>
        <w:tc>
          <w:tcPr>
            <w:tcW w:w="612" w:type="pct"/>
            <w:vMerge/>
            <w:noWrap/>
            <w:tcMar>
              <w:top w:w="15" w:type="dxa"/>
              <w:left w:w="15" w:type="dxa"/>
              <w:bottom w:w="0" w:type="dxa"/>
              <w:right w:w="15" w:type="dxa"/>
            </w:tcMar>
            <w:vAlign w:val="center"/>
          </w:tcPr>
          <w:p w14:paraId="451D8B5F" w14:textId="77777777" w:rsidR="00695CAB" w:rsidRPr="0024133B" w:rsidRDefault="00695CAB" w:rsidP="0075750D">
            <w:pPr>
              <w:spacing w:before="120" w:after="120"/>
              <w:jc w:val="left"/>
              <w:rPr>
                <w:rFonts w:ascii="Times New Roman" w:hAnsi="Times New Roman"/>
                <w:b/>
                <w:szCs w:val="21"/>
              </w:rPr>
            </w:pPr>
            <w:bookmarkStart w:id="4" w:name="_Hlk89122262"/>
          </w:p>
        </w:tc>
        <w:tc>
          <w:tcPr>
            <w:tcW w:w="1962" w:type="pct"/>
            <w:gridSpan w:val="2"/>
            <w:noWrap/>
            <w:tcMar>
              <w:top w:w="15" w:type="dxa"/>
              <w:left w:w="15" w:type="dxa"/>
              <w:bottom w:w="0" w:type="dxa"/>
              <w:right w:w="15" w:type="dxa"/>
            </w:tcMar>
            <w:vAlign w:val="center"/>
          </w:tcPr>
          <w:p w14:paraId="19788206" w14:textId="77777777" w:rsidR="00695CAB" w:rsidRPr="0024133B" w:rsidRDefault="00695CAB" w:rsidP="0075750D">
            <w:pPr>
              <w:snapToGrid w:val="0"/>
              <w:spacing w:beforeLines="30" w:before="72" w:afterLines="30" w:after="72"/>
              <w:jc w:val="left"/>
              <w:rPr>
                <w:rFonts w:ascii="Times New Roman" w:hAnsi="Times New Roman"/>
                <w:szCs w:val="21"/>
              </w:rPr>
            </w:pPr>
            <w:bookmarkStart w:id="5" w:name="_Hlk89036906"/>
            <w:r w:rsidRPr="0024133B">
              <w:rPr>
                <w:rFonts w:ascii="Times New Roman" w:hAnsi="Times New Roman"/>
                <w:szCs w:val="21"/>
              </w:rPr>
              <w:t>Distance from croplands to household</w:t>
            </w:r>
            <w:bookmarkEnd w:id="5"/>
          </w:p>
        </w:tc>
        <w:tc>
          <w:tcPr>
            <w:tcW w:w="1736" w:type="pct"/>
            <w:noWrap/>
            <w:tcMar>
              <w:top w:w="15" w:type="dxa"/>
              <w:left w:w="15" w:type="dxa"/>
              <w:bottom w:w="0" w:type="dxa"/>
              <w:right w:w="15" w:type="dxa"/>
            </w:tcMar>
            <w:vAlign w:val="center"/>
          </w:tcPr>
          <w:p w14:paraId="3F20D0BC" w14:textId="77777777" w:rsidR="00695CAB" w:rsidRPr="0024133B" w:rsidRDefault="00695CAB" w:rsidP="0075750D">
            <w:pPr>
              <w:widowControl/>
              <w:spacing w:before="120" w:after="120"/>
              <w:jc w:val="left"/>
              <w:rPr>
                <w:rFonts w:ascii="Times New Roman" w:hAnsi="Times New Roman"/>
                <w:kern w:val="0"/>
                <w:szCs w:val="21"/>
              </w:rPr>
            </w:pPr>
            <w:r w:rsidRPr="0024133B">
              <w:rPr>
                <w:rFonts w:ascii="Times New Roman" w:hAnsi="Times New Roman"/>
                <w:kern w:val="0"/>
                <w:szCs w:val="21"/>
              </w:rPr>
              <w:t>Institute of Remote Sensing and Digital Earth, Chinese Academy of Sciences</w:t>
            </w:r>
          </w:p>
          <w:p w14:paraId="68F48ABF"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hint="eastAsia"/>
                <w:kern w:val="0"/>
                <w:szCs w:val="21"/>
              </w:rPr>
              <w:t>(</w:t>
            </w:r>
            <w:r w:rsidRPr="0024133B">
              <w:rPr>
                <w:rFonts w:ascii="Times New Roman" w:hAnsi="Times New Roman"/>
                <w:kern w:val="0"/>
                <w:szCs w:val="21"/>
              </w:rPr>
              <w:t>http://resdc.cn/data.aspx?DATAID=264)</w:t>
            </w:r>
          </w:p>
        </w:tc>
        <w:tc>
          <w:tcPr>
            <w:tcW w:w="690" w:type="pct"/>
            <w:noWrap/>
            <w:tcMar>
              <w:top w:w="15" w:type="dxa"/>
              <w:left w:w="15" w:type="dxa"/>
              <w:bottom w:w="0" w:type="dxa"/>
              <w:right w:w="15" w:type="dxa"/>
            </w:tcMar>
            <w:vAlign w:val="center"/>
          </w:tcPr>
          <w:p w14:paraId="087BA20C"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kern w:val="0"/>
                <w:szCs w:val="21"/>
              </w:rPr>
              <w:t>90 m</w:t>
            </w:r>
          </w:p>
        </w:tc>
      </w:tr>
      <w:bookmarkEnd w:id="4"/>
      <w:tr w:rsidR="00695CAB" w:rsidRPr="0024133B" w14:paraId="468D472A" w14:textId="77777777" w:rsidTr="0075750D">
        <w:trPr>
          <w:trHeight w:val="285"/>
          <w:jc w:val="center"/>
        </w:trPr>
        <w:tc>
          <w:tcPr>
            <w:tcW w:w="612" w:type="pct"/>
            <w:vMerge/>
            <w:noWrap/>
            <w:tcMar>
              <w:top w:w="15" w:type="dxa"/>
              <w:left w:w="15" w:type="dxa"/>
              <w:bottom w:w="0" w:type="dxa"/>
              <w:right w:w="15" w:type="dxa"/>
            </w:tcMar>
            <w:vAlign w:val="center"/>
            <w:hideMark/>
          </w:tcPr>
          <w:p w14:paraId="65C8E376" w14:textId="77777777" w:rsidR="00695CAB" w:rsidRPr="0024133B" w:rsidRDefault="00695CAB" w:rsidP="0075750D">
            <w:pPr>
              <w:spacing w:before="120" w:after="120"/>
              <w:jc w:val="left"/>
              <w:rPr>
                <w:rFonts w:ascii="Times New Roman" w:hAnsi="Times New Roman"/>
                <w:b/>
                <w:szCs w:val="21"/>
              </w:rPr>
            </w:pPr>
          </w:p>
        </w:tc>
        <w:tc>
          <w:tcPr>
            <w:tcW w:w="676" w:type="pct"/>
            <w:noWrap/>
            <w:tcMar>
              <w:top w:w="15" w:type="dxa"/>
              <w:left w:w="15" w:type="dxa"/>
              <w:bottom w:w="0" w:type="dxa"/>
              <w:right w:w="15" w:type="dxa"/>
            </w:tcMar>
            <w:vAlign w:val="center"/>
            <w:hideMark/>
          </w:tcPr>
          <w:p w14:paraId="66CB162F"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szCs w:val="21"/>
              </w:rPr>
              <w:t>Education</w:t>
            </w:r>
          </w:p>
        </w:tc>
        <w:tc>
          <w:tcPr>
            <w:tcW w:w="1286" w:type="pct"/>
            <w:noWrap/>
            <w:tcMar>
              <w:top w:w="15" w:type="dxa"/>
              <w:left w:w="15" w:type="dxa"/>
              <w:bottom w:w="0" w:type="dxa"/>
              <w:right w:w="15" w:type="dxa"/>
            </w:tcMar>
            <w:vAlign w:val="center"/>
            <w:hideMark/>
          </w:tcPr>
          <w:p w14:paraId="181EEDA1"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szCs w:val="21"/>
              </w:rPr>
              <w:t>Average illiteracy rate (2000–2015)</w:t>
            </w:r>
          </w:p>
        </w:tc>
        <w:tc>
          <w:tcPr>
            <w:tcW w:w="1736" w:type="pct"/>
            <w:noWrap/>
            <w:tcMar>
              <w:top w:w="15" w:type="dxa"/>
              <w:left w:w="15" w:type="dxa"/>
              <w:bottom w:w="0" w:type="dxa"/>
              <w:right w:w="15" w:type="dxa"/>
            </w:tcMar>
            <w:vAlign w:val="center"/>
            <w:hideMark/>
          </w:tcPr>
          <w:p w14:paraId="758F0A2F"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szCs w:val="21"/>
              </w:rPr>
              <w:t>Chinese Population Survey</w:t>
            </w:r>
          </w:p>
        </w:tc>
        <w:tc>
          <w:tcPr>
            <w:tcW w:w="690" w:type="pct"/>
            <w:noWrap/>
            <w:tcMar>
              <w:top w:w="15" w:type="dxa"/>
              <w:left w:w="15" w:type="dxa"/>
              <w:bottom w:w="0" w:type="dxa"/>
              <w:right w:w="15" w:type="dxa"/>
            </w:tcMar>
            <w:vAlign w:val="center"/>
            <w:hideMark/>
          </w:tcPr>
          <w:p w14:paraId="0B869EF8"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szCs w:val="21"/>
              </w:rPr>
              <w:t>County-level</w:t>
            </w:r>
          </w:p>
        </w:tc>
      </w:tr>
      <w:tr w:rsidR="00695CAB" w:rsidRPr="0024133B" w14:paraId="5D4348EA" w14:textId="77777777" w:rsidTr="0075750D">
        <w:trPr>
          <w:trHeight w:val="285"/>
          <w:jc w:val="center"/>
        </w:trPr>
        <w:tc>
          <w:tcPr>
            <w:tcW w:w="612" w:type="pct"/>
            <w:vMerge/>
            <w:vAlign w:val="center"/>
            <w:hideMark/>
          </w:tcPr>
          <w:p w14:paraId="34F00381" w14:textId="77777777" w:rsidR="00695CAB" w:rsidRPr="0024133B" w:rsidRDefault="00695CAB" w:rsidP="0075750D">
            <w:pPr>
              <w:widowControl/>
              <w:spacing w:before="120" w:after="120"/>
              <w:jc w:val="left"/>
              <w:rPr>
                <w:rFonts w:ascii="Times New Roman" w:hAnsi="Times New Roman"/>
                <w:szCs w:val="21"/>
              </w:rPr>
            </w:pPr>
          </w:p>
        </w:tc>
        <w:tc>
          <w:tcPr>
            <w:tcW w:w="676" w:type="pct"/>
            <w:noWrap/>
            <w:tcMar>
              <w:top w:w="15" w:type="dxa"/>
              <w:left w:w="15" w:type="dxa"/>
              <w:bottom w:w="0" w:type="dxa"/>
              <w:right w:w="15" w:type="dxa"/>
            </w:tcMar>
            <w:vAlign w:val="center"/>
            <w:hideMark/>
          </w:tcPr>
          <w:p w14:paraId="76C33F41"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szCs w:val="21"/>
              </w:rPr>
              <w:t>Age</w:t>
            </w:r>
          </w:p>
        </w:tc>
        <w:tc>
          <w:tcPr>
            <w:tcW w:w="1286" w:type="pct"/>
            <w:noWrap/>
            <w:tcMar>
              <w:top w:w="15" w:type="dxa"/>
              <w:left w:w="15" w:type="dxa"/>
              <w:bottom w:w="0" w:type="dxa"/>
              <w:right w:w="15" w:type="dxa"/>
            </w:tcMar>
            <w:vAlign w:val="center"/>
            <w:hideMark/>
          </w:tcPr>
          <w:p w14:paraId="3B5EA72F"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szCs w:val="21"/>
              </w:rPr>
              <w:t>Average percentage of people aged above 65 (2000–2015)</w:t>
            </w:r>
          </w:p>
        </w:tc>
        <w:tc>
          <w:tcPr>
            <w:tcW w:w="1736" w:type="pct"/>
            <w:noWrap/>
            <w:tcMar>
              <w:top w:w="15" w:type="dxa"/>
              <w:left w:w="15" w:type="dxa"/>
              <w:bottom w:w="0" w:type="dxa"/>
              <w:right w:w="15" w:type="dxa"/>
            </w:tcMar>
            <w:vAlign w:val="center"/>
            <w:hideMark/>
          </w:tcPr>
          <w:p w14:paraId="3940989B"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szCs w:val="21"/>
              </w:rPr>
              <w:t>Chinese Population Survey</w:t>
            </w:r>
          </w:p>
        </w:tc>
        <w:tc>
          <w:tcPr>
            <w:tcW w:w="690" w:type="pct"/>
            <w:noWrap/>
            <w:tcMar>
              <w:top w:w="15" w:type="dxa"/>
              <w:left w:w="15" w:type="dxa"/>
              <w:bottom w:w="0" w:type="dxa"/>
              <w:right w:w="15" w:type="dxa"/>
            </w:tcMar>
            <w:vAlign w:val="center"/>
            <w:hideMark/>
          </w:tcPr>
          <w:p w14:paraId="7E2B46AD"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szCs w:val="21"/>
              </w:rPr>
              <w:t>County-level</w:t>
            </w:r>
          </w:p>
        </w:tc>
      </w:tr>
      <w:tr w:rsidR="00695CAB" w:rsidRPr="0024133B" w14:paraId="19EB1A0C" w14:textId="77777777" w:rsidTr="0075750D">
        <w:trPr>
          <w:trHeight w:val="285"/>
          <w:jc w:val="center"/>
        </w:trPr>
        <w:tc>
          <w:tcPr>
            <w:tcW w:w="612" w:type="pct"/>
            <w:vMerge/>
            <w:vAlign w:val="center"/>
            <w:hideMark/>
          </w:tcPr>
          <w:p w14:paraId="795132C3" w14:textId="77777777" w:rsidR="00695CAB" w:rsidRPr="0024133B" w:rsidRDefault="00695CAB" w:rsidP="0075750D">
            <w:pPr>
              <w:widowControl/>
              <w:spacing w:before="120" w:after="120"/>
              <w:jc w:val="left"/>
              <w:rPr>
                <w:rFonts w:ascii="Times New Roman" w:hAnsi="Times New Roman"/>
                <w:szCs w:val="21"/>
              </w:rPr>
            </w:pPr>
          </w:p>
        </w:tc>
        <w:tc>
          <w:tcPr>
            <w:tcW w:w="676" w:type="pct"/>
            <w:noWrap/>
            <w:tcMar>
              <w:top w:w="15" w:type="dxa"/>
              <w:left w:w="15" w:type="dxa"/>
              <w:bottom w:w="0" w:type="dxa"/>
              <w:right w:w="15" w:type="dxa"/>
            </w:tcMar>
            <w:vAlign w:val="center"/>
            <w:hideMark/>
          </w:tcPr>
          <w:p w14:paraId="3B156969"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szCs w:val="21"/>
              </w:rPr>
              <w:t>Off-farm labor allocation</w:t>
            </w:r>
          </w:p>
        </w:tc>
        <w:tc>
          <w:tcPr>
            <w:tcW w:w="1286" w:type="pct"/>
            <w:noWrap/>
            <w:tcMar>
              <w:top w:w="15" w:type="dxa"/>
              <w:left w:w="15" w:type="dxa"/>
              <w:bottom w:w="0" w:type="dxa"/>
              <w:right w:w="15" w:type="dxa"/>
            </w:tcMar>
            <w:vAlign w:val="center"/>
            <w:hideMark/>
          </w:tcPr>
          <w:p w14:paraId="3F79C3AD"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szCs w:val="21"/>
              </w:rPr>
              <w:t>Distance to metropolis (m)</w:t>
            </w:r>
          </w:p>
        </w:tc>
        <w:tc>
          <w:tcPr>
            <w:tcW w:w="1736" w:type="pct"/>
            <w:noWrap/>
            <w:tcMar>
              <w:top w:w="15" w:type="dxa"/>
              <w:left w:w="15" w:type="dxa"/>
              <w:bottom w:w="0" w:type="dxa"/>
              <w:right w:w="15" w:type="dxa"/>
            </w:tcMar>
            <w:vAlign w:val="center"/>
            <w:hideMark/>
          </w:tcPr>
          <w:p w14:paraId="3D549838"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szCs w:val="21"/>
              </w:rPr>
              <w:t>Research Center for Eco-Environmental Sciences, Chinese Academy of Sciences</w:t>
            </w:r>
          </w:p>
        </w:tc>
        <w:tc>
          <w:tcPr>
            <w:tcW w:w="690" w:type="pct"/>
            <w:noWrap/>
            <w:tcMar>
              <w:top w:w="15" w:type="dxa"/>
              <w:left w:w="15" w:type="dxa"/>
              <w:bottom w:w="0" w:type="dxa"/>
              <w:right w:w="15" w:type="dxa"/>
            </w:tcMar>
            <w:vAlign w:val="center"/>
            <w:hideMark/>
          </w:tcPr>
          <w:p w14:paraId="7160640C"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szCs w:val="21"/>
              </w:rPr>
              <w:t>90 m</w:t>
            </w:r>
          </w:p>
        </w:tc>
      </w:tr>
      <w:tr w:rsidR="00695CAB" w:rsidRPr="0024133B" w14:paraId="1B9994E4" w14:textId="77777777" w:rsidTr="0075750D">
        <w:trPr>
          <w:trHeight w:val="285"/>
          <w:jc w:val="center"/>
        </w:trPr>
        <w:tc>
          <w:tcPr>
            <w:tcW w:w="612" w:type="pct"/>
            <w:vMerge/>
            <w:vAlign w:val="center"/>
            <w:hideMark/>
          </w:tcPr>
          <w:p w14:paraId="6B52F13C" w14:textId="77777777" w:rsidR="00695CAB" w:rsidRPr="0024133B" w:rsidRDefault="00695CAB" w:rsidP="0075750D">
            <w:pPr>
              <w:widowControl/>
              <w:spacing w:before="120" w:after="120"/>
              <w:jc w:val="left"/>
              <w:rPr>
                <w:rFonts w:ascii="Times New Roman" w:hAnsi="Times New Roman"/>
                <w:szCs w:val="21"/>
              </w:rPr>
            </w:pPr>
          </w:p>
        </w:tc>
        <w:tc>
          <w:tcPr>
            <w:tcW w:w="676" w:type="pct"/>
            <w:noWrap/>
            <w:tcMar>
              <w:top w:w="15" w:type="dxa"/>
              <w:left w:w="15" w:type="dxa"/>
              <w:bottom w:w="0" w:type="dxa"/>
              <w:right w:w="15" w:type="dxa"/>
            </w:tcMar>
            <w:vAlign w:val="center"/>
            <w:hideMark/>
          </w:tcPr>
          <w:p w14:paraId="67FD7172" w14:textId="77777777" w:rsidR="00695CAB" w:rsidRPr="0024133B" w:rsidRDefault="00695CAB" w:rsidP="0075750D">
            <w:pPr>
              <w:snapToGrid w:val="0"/>
              <w:spacing w:beforeLines="30" w:before="72" w:afterLines="30" w:after="72"/>
              <w:jc w:val="left"/>
              <w:rPr>
                <w:rFonts w:ascii="Times New Roman" w:hAnsi="Times New Roman"/>
                <w:szCs w:val="21"/>
              </w:rPr>
            </w:pPr>
            <w:bookmarkStart w:id="6" w:name="_Hlk89122478"/>
            <w:r w:rsidRPr="0024133B">
              <w:rPr>
                <w:rFonts w:ascii="Times New Roman" w:hAnsi="Times New Roman"/>
                <w:szCs w:val="21"/>
              </w:rPr>
              <w:t>Household labor endowments</w:t>
            </w:r>
            <w:bookmarkEnd w:id="6"/>
          </w:p>
        </w:tc>
        <w:tc>
          <w:tcPr>
            <w:tcW w:w="1286" w:type="pct"/>
            <w:noWrap/>
            <w:tcMar>
              <w:top w:w="15" w:type="dxa"/>
              <w:left w:w="15" w:type="dxa"/>
              <w:bottom w:w="0" w:type="dxa"/>
              <w:right w:w="15" w:type="dxa"/>
            </w:tcMar>
            <w:vAlign w:val="center"/>
            <w:hideMark/>
          </w:tcPr>
          <w:p w14:paraId="00F61CED"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szCs w:val="21"/>
              </w:rPr>
              <w:t>Average village population (2000-2015)</w:t>
            </w:r>
          </w:p>
        </w:tc>
        <w:tc>
          <w:tcPr>
            <w:tcW w:w="1736" w:type="pct"/>
            <w:noWrap/>
            <w:tcMar>
              <w:top w:w="15" w:type="dxa"/>
              <w:left w:w="15" w:type="dxa"/>
              <w:bottom w:w="0" w:type="dxa"/>
              <w:right w:w="15" w:type="dxa"/>
            </w:tcMar>
            <w:vAlign w:val="center"/>
            <w:hideMark/>
          </w:tcPr>
          <w:p w14:paraId="7CC062E5"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szCs w:val="21"/>
              </w:rPr>
              <w:t>Chinese Population Survey</w:t>
            </w:r>
          </w:p>
        </w:tc>
        <w:tc>
          <w:tcPr>
            <w:tcW w:w="690" w:type="pct"/>
            <w:noWrap/>
            <w:tcMar>
              <w:top w:w="15" w:type="dxa"/>
              <w:left w:w="15" w:type="dxa"/>
              <w:bottom w:w="0" w:type="dxa"/>
              <w:right w:w="15" w:type="dxa"/>
            </w:tcMar>
            <w:vAlign w:val="center"/>
            <w:hideMark/>
          </w:tcPr>
          <w:p w14:paraId="7B9EF13C"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szCs w:val="21"/>
              </w:rPr>
              <w:t>County-level</w:t>
            </w:r>
          </w:p>
        </w:tc>
      </w:tr>
      <w:tr w:rsidR="00695CAB" w:rsidRPr="0024133B" w14:paraId="09B9FCD7" w14:textId="77777777" w:rsidTr="0075750D">
        <w:trPr>
          <w:trHeight w:val="285"/>
          <w:jc w:val="center"/>
        </w:trPr>
        <w:tc>
          <w:tcPr>
            <w:tcW w:w="612" w:type="pct"/>
            <w:vMerge/>
            <w:vAlign w:val="center"/>
            <w:hideMark/>
          </w:tcPr>
          <w:p w14:paraId="6DF1BFAC" w14:textId="77777777" w:rsidR="00695CAB" w:rsidRPr="0024133B" w:rsidRDefault="00695CAB" w:rsidP="0075750D">
            <w:pPr>
              <w:widowControl/>
              <w:spacing w:before="120" w:after="120"/>
              <w:jc w:val="left"/>
              <w:rPr>
                <w:rFonts w:ascii="Times New Roman" w:hAnsi="Times New Roman"/>
                <w:szCs w:val="21"/>
              </w:rPr>
            </w:pPr>
          </w:p>
        </w:tc>
        <w:tc>
          <w:tcPr>
            <w:tcW w:w="676" w:type="pct"/>
            <w:noWrap/>
            <w:tcMar>
              <w:top w:w="15" w:type="dxa"/>
              <w:left w:w="15" w:type="dxa"/>
              <w:bottom w:w="0" w:type="dxa"/>
              <w:right w:w="15" w:type="dxa"/>
            </w:tcMar>
            <w:vAlign w:val="center"/>
            <w:hideMark/>
          </w:tcPr>
          <w:p w14:paraId="6E53294F"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szCs w:val="21"/>
              </w:rPr>
              <w:t>Income</w:t>
            </w:r>
          </w:p>
        </w:tc>
        <w:tc>
          <w:tcPr>
            <w:tcW w:w="1286" w:type="pct"/>
            <w:noWrap/>
            <w:tcMar>
              <w:top w:w="15" w:type="dxa"/>
              <w:left w:w="15" w:type="dxa"/>
              <w:bottom w:w="0" w:type="dxa"/>
              <w:right w:w="15" w:type="dxa"/>
            </w:tcMar>
            <w:vAlign w:val="center"/>
            <w:hideMark/>
          </w:tcPr>
          <w:p w14:paraId="0764B769"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szCs w:val="21"/>
              </w:rPr>
              <w:t>Average GDP (2000–2015)</w:t>
            </w:r>
          </w:p>
        </w:tc>
        <w:tc>
          <w:tcPr>
            <w:tcW w:w="1736" w:type="pct"/>
            <w:noWrap/>
            <w:tcMar>
              <w:top w:w="15" w:type="dxa"/>
              <w:left w:w="15" w:type="dxa"/>
              <w:bottom w:w="0" w:type="dxa"/>
              <w:right w:w="15" w:type="dxa"/>
            </w:tcMar>
            <w:vAlign w:val="center"/>
            <w:hideMark/>
          </w:tcPr>
          <w:p w14:paraId="3DDCE66D"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szCs w:val="21"/>
              </w:rPr>
              <w:t>Resource and Environment Data Cloud Platform</w:t>
            </w:r>
          </w:p>
        </w:tc>
        <w:tc>
          <w:tcPr>
            <w:tcW w:w="690" w:type="pct"/>
            <w:noWrap/>
            <w:tcMar>
              <w:top w:w="15" w:type="dxa"/>
              <w:left w:w="15" w:type="dxa"/>
              <w:bottom w:w="0" w:type="dxa"/>
              <w:right w:w="15" w:type="dxa"/>
            </w:tcMar>
            <w:vAlign w:val="center"/>
            <w:hideMark/>
          </w:tcPr>
          <w:p w14:paraId="5E80AEAD" w14:textId="77777777" w:rsidR="00695CAB" w:rsidRPr="0024133B" w:rsidRDefault="00695CAB" w:rsidP="0075750D">
            <w:pPr>
              <w:snapToGrid w:val="0"/>
              <w:spacing w:beforeLines="30" w:before="72" w:afterLines="30" w:after="72"/>
              <w:jc w:val="left"/>
              <w:rPr>
                <w:rFonts w:ascii="Times New Roman" w:hAnsi="Times New Roman"/>
                <w:szCs w:val="21"/>
              </w:rPr>
            </w:pPr>
            <w:r w:rsidRPr="0024133B">
              <w:rPr>
                <w:rFonts w:ascii="Times New Roman" w:hAnsi="Times New Roman"/>
                <w:szCs w:val="21"/>
              </w:rPr>
              <w:t>1 km</w:t>
            </w:r>
          </w:p>
        </w:tc>
      </w:tr>
    </w:tbl>
    <w:p w14:paraId="3F257D5A" w14:textId="77777777" w:rsidR="00695CAB" w:rsidRPr="0024133B" w:rsidRDefault="00695CAB" w:rsidP="00695CAB">
      <w:pPr>
        <w:snapToGrid w:val="0"/>
        <w:spacing w:beforeLines="50" w:before="120" w:afterLines="50" w:after="120"/>
        <w:rPr>
          <w:rFonts w:ascii="Times New Roman" w:hAnsi="Times New Roman"/>
          <w:szCs w:val="21"/>
        </w:rPr>
      </w:pPr>
    </w:p>
    <w:p w14:paraId="1C46B6D8" w14:textId="77777777" w:rsidR="00695CAB" w:rsidRPr="0024133B" w:rsidRDefault="00695CAB" w:rsidP="00695CAB">
      <w:pPr>
        <w:snapToGrid w:val="0"/>
        <w:spacing w:beforeLines="50" w:before="120" w:afterLines="50" w:after="120"/>
        <w:rPr>
          <w:rFonts w:ascii="Times New Roman" w:hAnsi="Times New Roman"/>
          <w:szCs w:val="21"/>
        </w:rPr>
      </w:pPr>
    </w:p>
    <w:p w14:paraId="5FE14B71" w14:textId="77777777" w:rsidR="00695CAB" w:rsidRPr="0024133B" w:rsidRDefault="00695CAB" w:rsidP="00695CAB">
      <w:pPr>
        <w:snapToGrid w:val="0"/>
        <w:spacing w:beforeLines="50" w:before="120" w:afterLines="50" w:after="120"/>
        <w:rPr>
          <w:rFonts w:ascii="Times New Roman" w:hAnsi="Times New Roman"/>
          <w:szCs w:val="21"/>
        </w:rPr>
      </w:pPr>
    </w:p>
    <w:p w14:paraId="6118191F" w14:textId="77777777" w:rsidR="00695CAB" w:rsidRPr="0024133B" w:rsidRDefault="00695CAB" w:rsidP="00695CAB">
      <w:pPr>
        <w:snapToGrid w:val="0"/>
        <w:spacing w:beforeLines="50" w:before="120" w:afterLines="50" w:after="120"/>
        <w:rPr>
          <w:rFonts w:ascii="Times New Roman" w:hAnsi="Times New Roman"/>
          <w:szCs w:val="21"/>
        </w:rPr>
      </w:pPr>
    </w:p>
    <w:p w14:paraId="7488A9C1" w14:textId="77777777" w:rsidR="00695CAB" w:rsidRPr="0024133B" w:rsidRDefault="00695CAB" w:rsidP="00695CAB">
      <w:pPr>
        <w:snapToGrid w:val="0"/>
        <w:spacing w:beforeLines="50" w:before="120" w:afterLines="50" w:after="120"/>
        <w:rPr>
          <w:rFonts w:ascii="Times New Roman" w:hAnsi="Times New Roman"/>
          <w:szCs w:val="21"/>
        </w:rPr>
      </w:pPr>
    </w:p>
    <w:p w14:paraId="39E535BE" w14:textId="77777777" w:rsidR="00695CAB" w:rsidRPr="0024133B" w:rsidRDefault="00695CAB" w:rsidP="00695CAB">
      <w:pPr>
        <w:snapToGrid w:val="0"/>
        <w:spacing w:beforeLines="50" w:before="120" w:afterLines="50" w:after="120"/>
        <w:rPr>
          <w:rFonts w:ascii="Times New Roman" w:hAnsi="Times New Roman"/>
          <w:szCs w:val="21"/>
        </w:rPr>
      </w:pPr>
    </w:p>
    <w:p w14:paraId="294B91C4" w14:textId="77777777" w:rsidR="00695CAB" w:rsidRPr="0024133B" w:rsidRDefault="00695CAB" w:rsidP="00695CAB">
      <w:pPr>
        <w:snapToGrid w:val="0"/>
        <w:spacing w:beforeLines="50" w:before="120" w:afterLines="50" w:after="120"/>
        <w:rPr>
          <w:rFonts w:ascii="Times New Roman" w:hAnsi="Times New Roman"/>
          <w:szCs w:val="21"/>
        </w:rPr>
      </w:pPr>
    </w:p>
    <w:p w14:paraId="5323DA94" w14:textId="77777777" w:rsidR="00695CAB" w:rsidRPr="0024133B" w:rsidRDefault="00695CAB" w:rsidP="00695CAB">
      <w:pPr>
        <w:snapToGrid w:val="0"/>
        <w:spacing w:beforeLines="50" w:before="120" w:afterLines="50" w:after="120"/>
        <w:rPr>
          <w:rFonts w:ascii="Times New Roman" w:hAnsi="Times New Roman"/>
          <w:szCs w:val="21"/>
        </w:rPr>
      </w:pPr>
    </w:p>
    <w:p w14:paraId="21853975" w14:textId="10C69287" w:rsidR="00695CAB" w:rsidRPr="0024133B" w:rsidRDefault="00695CAB" w:rsidP="00695CAB">
      <w:pPr>
        <w:snapToGrid w:val="0"/>
        <w:spacing w:beforeLines="50" w:before="120" w:afterLines="50" w:after="120" w:line="360" w:lineRule="auto"/>
        <w:rPr>
          <w:rFonts w:ascii="Times New Roman" w:hAnsi="Times New Roman"/>
          <w:b/>
          <w:bCs/>
          <w:szCs w:val="21"/>
        </w:rPr>
      </w:pPr>
      <w:r w:rsidRPr="0024133B">
        <w:rPr>
          <w:rFonts w:ascii="Times New Roman" w:hAnsi="Times New Roman"/>
          <w:b/>
          <w:szCs w:val="21"/>
        </w:rPr>
        <w:t xml:space="preserve">Table </w:t>
      </w:r>
      <w:r w:rsidR="000677D1">
        <w:rPr>
          <w:rFonts w:ascii="Times New Roman" w:hAnsi="Times New Roman"/>
          <w:b/>
          <w:szCs w:val="21"/>
        </w:rPr>
        <w:t>S</w:t>
      </w:r>
      <w:r w:rsidRPr="0024133B">
        <w:rPr>
          <w:rFonts w:ascii="Times New Roman" w:hAnsi="Times New Roman"/>
          <w:b/>
          <w:szCs w:val="21"/>
        </w:rPr>
        <w:t xml:space="preserve">3 </w:t>
      </w:r>
      <w:r w:rsidRPr="0024133B">
        <w:rPr>
          <w:rFonts w:ascii="Times New Roman" w:hAnsi="Times New Roman"/>
          <w:b/>
          <w:bCs/>
          <w:szCs w:val="21"/>
        </w:rPr>
        <w:t>Contribution of social-ecological variables to CCFP implementation</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398"/>
        <w:gridCol w:w="6532"/>
      </w:tblGrid>
      <w:tr w:rsidR="00695CAB" w:rsidRPr="0024133B" w14:paraId="4AF0D339" w14:textId="77777777" w:rsidTr="0075750D">
        <w:trPr>
          <w:trHeight w:val="340"/>
          <w:jc w:val="center"/>
        </w:trPr>
        <w:tc>
          <w:tcPr>
            <w:tcW w:w="2474" w:type="pct"/>
            <w:tcBorders>
              <w:top w:val="single" w:sz="12" w:space="0" w:color="auto"/>
              <w:bottom w:val="single" w:sz="4" w:space="0" w:color="auto"/>
            </w:tcBorders>
            <w:shd w:val="clear" w:color="auto" w:fill="D9D9D9" w:themeFill="background1" w:themeFillShade="D9"/>
            <w:vAlign w:val="center"/>
            <w:hideMark/>
          </w:tcPr>
          <w:p w14:paraId="0EFA013E" w14:textId="77777777" w:rsidR="00695CAB" w:rsidRPr="0024133B" w:rsidRDefault="00695CAB" w:rsidP="0075750D">
            <w:pPr>
              <w:widowControl/>
              <w:snapToGrid w:val="0"/>
              <w:spacing w:beforeLines="30" w:before="72" w:afterLines="30" w:after="72"/>
              <w:jc w:val="center"/>
              <w:rPr>
                <w:rFonts w:ascii="Times New Roman" w:hAnsi="Times New Roman"/>
                <w:b/>
                <w:bCs/>
                <w:kern w:val="0"/>
                <w:szCs w:val="21"/>
              </w:rPr>
            </w:pPr>
            <w:r w:rsidRPr="0024133B">
              <w:rPr>
                <w:rFonts w:ascii="Times New Roman" w:eastAsia="Times New Roman" w:hAnsi="Times New Roman"/>
                <w:b/>
                <w:bCs/>
                <w:kern w:val="0"/>
                <w:szCs w:val="21"/>
              </w:rPr>
              <w:t>Variable</w:t>
            </w:r>
          </w:p>
        </w:tc>
        <w:tc>
          <w:tcPr>
            <w:tcW w:w="2526" w:type="pct"/>
            <w:tcBorders>
              <w:top w:val="single" w:sz="12" w:space="0" w:color="auto"/>
              <w:bottom w:val="single" w:sz="4" w:space="0" w:color="auto"/>
            </w:tcBorders>
            <w:shd w:val="clear" w:color="auto" w:fill="D9D9D9" w:themeFill="background1" w:themeFillShade="D9"/>
            <w:vAlign w:val="center"/>
            <w:hideMark/>
          </w:tcPr>
          <w:p w14:paraId="280E62CB" w14:textId="77777777" w:rsidR="00695CAB" w:rsidRPr="0024133B" w:rsidRDefault="00695CAB" w:rsidP="0075750D">
            <w:pPr>
              <w:widowControl/>
              <w:snapToGrid w:val="0"/>
              <w:spacing w:beforeLines="30" w:before="72" w:afterLines="30" w:after="72"/>
              <w:jc w:val="center"/>
              <w:rPr>
                <w:rFonts w:ascii="Times New Roman" w:hAnsi="Times New Roman"/>
                <w:b/>
                <w:bCs/>
                <w:kern w:val="0"/>
                <w:szCs w:val="21"/>
              </w:rPr>
            </w:pPr>
            <w:r w:rsidRPr="0024133B">
              <w:rPr>
                <w:rFonts w:ascii="Times New Roman" w:hAnsi="Times New Roman"/>
                <w:b/>
                <w:bCs/>
                <w:kern w:val="0"/>
                <w:szCs w:val="21"/>
              </w:rPr>
              <w:t>C</w:t>
            </w:r>
            <w:r w:rsidRPr="0024133B">
              <w:rPr>
                <w:rFonts w:ascii="Times New Roman" w:eastAsia="Times New Roman" w:hAnsi="Times New Roman"/>
                <w:b/>
                <w:bCs/>
                <w:kern w:val="0"/>
                <w:szCs w:val="21"/>
              </w:rPr>
              <w:t>ontribution</w:t>
            </w:r>
            <w:r w:rsidRPr="0024133B">
              <w:rPr>
                <w:rFonts w:ascii="Times New Roman" w:hAnsi="Times New Roman"/>
                <w:b/>
                <w:bCs/>
                <w:kern w:val="0"/>
                <w:szCs w:val="21"/>
              </w:rPr>
              <w:t xml:space="preserve"> (%)</w:t>
            </w:r>
          </w:p>
        </w:tc>
      </w:tr>
      <w:tr w:rsidR="00695CAB" w:rsidRPr="0024133B" w14:paraId="2C011813" w14:textId="77777777" w:rsidTr="0075750D">
        <w:trPr>
          <w:trHeight w:val="290"/>
          <w:jc w:val="center"/>
        </w:trPr>
        <w:tc>
          <w:tcPr>
            <w:tcW w:w="2474" w:type="pct"/>
            <w:tcBorders>
              <w:top w:val="single" w:sz="4" w:space="0" w:color="auto"/>
            </w:tcBorders>
            <w:shd w:val="clear" w:color="auto" w:fill="auto"/>
            <w:vAlign w:val="center"/>
            <w:hideMark/>
          </w:tcPr>
          <w:p w14:paraId="13E40481" w14:textId="77777777" w:rsidR="00695CAB" w:rsidRPr="0024133B" w:rsidRDefault="00695CAB" w:rsidP="0075750D">
            <w:pPr>
              <w:widowControl/>
              <w:snapToGrid w:val="0"/>
              <w:spacing w:beforeLines="30" w:before="72" w:afterLines="30" w:after="72"/>
              <w:jc w:val="left"/>
              <w:rPr>
                <w:rFonts w:ascii="Times New Roman" w:hAnsi="Times New Roman"/>
                <w:kern w:val="0"/>
                <w:szCs w:val="21"/>
              </w:rPr>
            </w:pPr>
            <w:r w:rsidRPr="0024133B">
              <w:rPr>
                <w:rFonts w:ascii="Times New Roman" w:eastAsia="Times New Roman" w:hAnsi="Times New Roman"/>
                <w:kern w:val="0"/>
                <w:szCs w:val="21"/>
              </w:rPr>
              <w:t>GDP</w:t>
            </w:r>
          </w:p>
        </w:tc>
        <w:tc>
          <w:tcPr>
            <w:tcW w:w="2526" w:type="pct"/>
            <w:tcBorders>
              <w:top w:val="single" w:sz="4" w:space="0" w:color="auto"/>
            </w:tcBorders>
            <w:shd w:val="clear" w:color="auto" w:fill="auto"/>
            <w:vAlign w:val="center"/>
            <w:hideMark/>
          </w:tcPr>
          <w:p w14:paraId="2D8D97B0" w14:textId="77777777" w:rsidR="00695CAB" w:rsidRPr="0024133B" w:rsidRDefault="00695CAB" w:rsidP="0075750D">
            <w:pPr>
              <w:widowControl/>
              <w:snapToGrid w:val="0"/>
              <w:spacing w:beforeLines="30" w:before="72" w:afterLines="30" w:after="72"/>
              <w:jc w:val="center"/>
              <w:rPr>
                <w:rFonts w:ascii="Times New Roman" w:eastAsia="Times New Roman" w:hAnsi="Times New Roman"/>
                <w:kern w:val="0"/>
                <w:szCs w:val="21"/>
              </w:rPr>
            </w:pPr>
            <w:r w:rsidRPr="0024133B">
              <w:rPr>
                <w:rFonts w:ascii="Times New Roman" w:eastAsia="Times New Roman" w:hAnsi="Times New Roman"/>
                <w:kern w:val="0"/>
                <w:szCs w:val="21"/>
              </w:rPr>
              <w:t>45.6</w:t>
            </w:r>
          </w:p>
        </w:tc>
      </w:tr>
      <w:tr w:rsidR="00695CAB" w:rsidRPr="0024133B" w14:paraId="0F90E469" w14:textId="77777777" w:rsidTr="0075750D">
        <w:trPr>
          <w:trHeight w:val="333"/>
          <w:jc w:val="center"/>
        </w:trPr>
        <w:tc>
          <w:tcPr>
            <w:tcW w:w="2474" w:type="pct"/>
            <w:shd w:val="clear" w:color="auto" w:fill="auto"/>
            <w:vAlign w:val="center"/>
            <w:hideMark/>
          </w:tcPr>
          <w:p w14:paraId="41056246" w14:textId="77777777" w:rsidR="00695CAB" w:rsidRPr="0024133B" w:rsidRDefault="00695CAB" w:rsidP="0075750D">
            <w:pPr>
              <w:widowControl/>
              <w:snapToGrid w:val="0"/>
              <w:spacing w:beforeLines="30" w:before="72" w:afterLines="30" w:after="72"/>
              <w:jc w:val="left"/>
              <w:rPr>
                <w:rFonts w:ascii="Times New Roman" w:hAnsi="Times New Roman"/>
                <w:kern w:val="0"/>
                <w:szCs w:val="21"/>
              </w:rPr>
            </w:pPr>
            <w:r w:rsidRPr="0024133B">
              <w:rPr>
                <w:rFonts w:ascii="Times New Roman" w:hAnsi="Times New Roman"/>
                <w:szCs w:val="21"/>
              </w:rPr>
              <w:t>Distance from croplands to household</w:t>
            </w:r>
          </w:p>
        </w:tc>
        <w:tc>
          <w:tcPr>
            <w:tcW w:w="2526" w:type="pct"/>
            <w:shd w:val="clear" w:color="auto" w:fill="auto"/>
            <w:vAlign w:val="center"/>
            <w:hideMark/>
          </w:tcPr>
          <w:p w14:paraId="0697FB50" w14:textId="77777777" w:rsidR="00695CAB" w:rsidRPr="0024133B" w:rsidRDefault="00695CAB" w:rsidP="0075750D">
            <w:pPr>
              <w:widowControl/>
              <w:snapToGrid w:val="0"/>
              <w:spacing w:beforeLines="30" w:before="72" w:afterLines="30" w:after="72"/>
              <w:jc w:val="center"/>
              <w:rPr>
                <w:rFonts w:ascii="Times New Roman" w:eastAsia="Times New Roman" w:hAnsi="Times New Roman"/>
                <w:kern w:val="0"/>
                <w:szCs w:val="21"/>
              </w:rPr>
            </w:pPr>
            <w:r w:rsidRPr="0024133B">
              <w:rPr>
                <w:rFonts w:ascii="Times New Roman" w:eastAsia="Times New Roman" w:hAnsi="Times New Roman"/>
                <w:kern w:val="0"/>
                <w:szCs w:val="21"/>
              </w:rPr>
              <w:t>13.8</w:t>
            </w:r>
          </w:p>
        </w:tc>
      </w:tr>
      <w:tr w:rsidR="00695CAB" w:rsidRPr="0024133B" w14:paraId="5FC3C679" w14:textId="77777777" w:rsidTr="0075750D">
        <w:trPr>
          <w:trHeight w:val="56"/>
          <w:jc w:val="center"/>
        </w:trPr>
        <w:tc>
          <w:tcPr>
            <w:tcW w:w="2474" w:type="pct"/>
            <w:shd w:val="clear" w:color="auto" w:fill="auto"/>
            <w:vAlign w:val="center"/>
            <w:hideMark/>
          </w:tcPr>
          <w:p w14:paraId="44975A66" w14:textId="77777777" w:rsidR="00695CAB" w:rsidRPr="0024133B" w:rsidRDefault="00695CAB" w:rsidP="0075750D">
            <w:pPr>
              <w:widowControl/>
              <w:snapToGrid w:val="0"/>
              <w:spacing w:beforeLines="30" w:before="72" w:afterLines="30" w:after="72"/>
              <w:jc w:val="left"/>
              <w:rPr>
                <w:rFonts w:ascii="Times New Roman" w:eastAsia="Times New Roman" w:hAnsi="Times New Roman"/>
                <w:kern w:val="0"/>
                <w:szCs w:val="21"/>
              </w:rPr>
            </w:pPr>
            <w:bookmarkStart w:id="7" w:name="_Hlk89038931"/>
            <w:r w:rsidRPr="0024133B">
              <w:rPr>
                <w:rFonts w:ascii="Times New Roman" w:eastAsia="Times New Roman" w:hAnsi="Times New Roman"/>
                <w:kern w:val="0"/>
                <w:szCs w:val="21"/>
              </w:rPr>
              <w:t>Illiteracy</w:t>
            </w:r>
            <w:bookmarkEnd w:id="7"/>
          </w:p>
        </w:tc>
        <w:tc>
          <w:tcPr>
            <w:tcW w:w="2526" w:type="pct"/>
            <w:shd w:val="clear" w:color="auto" w:fill="auto"/>
            <w:vAlign w:val="center"/>
            <w:hideMark/>
          </w:tcPr>
          <w:p w14:paraId="7D73D51D" w14:textId="77777777" w:rsidR="00695CAB" w:rsidRPr="0024133B" w:rsidRDefault="00695CAB" w:rsidP="0075750D">
            <w:pPr>
              <w:widowControl/>
              <w:snapToGrid w:val="0"/>
              <w:spacing w:beforeLines="30" w:before="72" w:afterLines="30" w:after="72"/>
              <w:jc w:val="center"/>
              <w:rPr>
                <w:rFonts w:ascii="Times New Roman" w:eastAsia="Times New Roman" w:hAnsi="Times New Roman"/>
                <w:kern w:val="0"/>
                <w:szCs w:val="21"/>
              </w:rPr>
            </w:pPr>
            <w:r w:rsidRPr="0024133B">
              <w:rPr>
                <w:rFonts w:ascii="Times New Roman" w:eastAsia="Times New Roman" w:hAnsi="Times New Roman"/>
                <w:kern w:val="0"/>
                <w:szCs w:val="21"/>
              </w:rPr>
              <w:t>13.6</w:t>
            </w:r>
          </w:p>
        </w:tc>
      </w:tr>
      <w:tr w:rsidR="00695CAB" w:rsidRPr="0024133B" w14:paraId="2FD630A7" w14:textId="77777777" w:rsidTr="0075750D">
        <w:trPr>
          <w:trHeight w:val="315"/>
          <w:jc w:val="center"/>
        </w:trPr>
        <w:tc>
          <w:tcPr>
            <w:tcW w:w="2474" w:type="pct"/>
            <w:shd w:val="clear" w:color="auto" w:fill="auto"/>
            <w:vAlign w:val="center"/>
            <w:hideMark/>
          </w:tcPr>
          <w:p w14:paraId="74A2036B" w14:textId="77777777" w:rsidR="00695CAB" w:rsidRPr="0024133B" w:rsidRDefault="00695CAB" w:rsidP="0075750D">
            <w:pPr>
              <w:widowControl/>
              <w:snapToGrid w:val="0"/>
              <w:spacing w:beforeLines="30" w:before="72" w:afterLines="30" w:after="72"/>
              <w:jc w:val="left"/>
              <w:rPr>
                <w:rFonts w:ascii="Times New Roman" w:eastAsia="Times New Roman" w:hAnsi="Times New Roman"/>
                <w:kern w:val="0"/>
                <w:szCs w:val="21"/>
              </w:rPr>
            </w:pPr>
            <w:r w:rsidRPr="0024133B">
              <w:rPr>
                <w:rFonts w:ascii="Times New Roman" w:eastAsia="Times New Roman" w:hAnsi="Times New Roman"/>
                <w:kern w:val="0"/>
                <w:szCs w:val="21"/>
              </w:rPr>
              <w:t>Slope</w:t>
            </w:r>
          </w:p>
        </w:tc>
        <w:tc>
          <w:tcPr>
            <w:tcW w:w="2526" w:type="pct"/>
            <w:shd w:val="clear" w:color="auto" w:fill="auto"/>
            <w:vAlign w:val="center"/>
            <w:hideMark/>
          </w:tcPr>
          <w:p w14:paraId="066A1C8E" w14:textId="77777777" w:rsidR="00695CAB" w:rsidRPr="0024133B" w:rsidRDefault="00695CAB" w:rsidP="0075750D">
            <w:pPr>
              <w:widowControl/>
              <w:snapToGrid w:val="0"/>
              <w:spacing w:beforeLines="30" w:before="72" w:afterLines="30" w:after="72"/>
              <w:jc w:val="center"/>
              <w:rPr>
                <w:rFonts w:ascii="Times New Roman" w:eastAsia="Times New Roman" w:hAnsi="Times New Roman"/>
                <w:kern w:val="0"/>
                <w:szCs w:val="21"/>
              </w:rPr>
            </w:pPr>
            <w:r w:rsidRPr="0024133B">
              <w:rPr>
                <w:rFonts w:ascii="Times New Roman" w:eastAsia="Times New Roman" w:hAnsi="Times New Roman"/>
                <w:kern w:val="0"/>
                <w:szCs w:val="21"/>
              </w:rPr>
              <w:t>13.4</w:t>
            </w:r>
          </w:p>
        </w:tc>
      </w:tr>
      <w:tr w:rsidR="00695CAB" w:rsidRPr="0024133B" w14:paraId="2C3898DE" w14:textId="77777777" w:rsidTr="0075750D">
        <w:trPr>
          <w:trHeight w:val="315"/>
          <w:jc w:val="center"/>
        </w:trPr>
        <w:tc>
          <w:tcPr>
            <w:tcW w:w="2474" w:type="pct"/>
            <w:shd w:val="clear" w:color="auto" w:fill="auto"/>
            <w:vAlign w:val="center"/>
          </w:tcPr>
          <w:p w14:paraId="471551EE" w14:textId="77777777" w:rsidR="00695CAB" w:rsidRPr="0024133B" w:rsidRDefault="00695CAB" w:rsidP="0075750D">
            <w:pPr>
              <w:widowControl/>
              <w:snapToGrid w:val="0"/>
              <w:spacing w:beforeLines="30" w:before="72" w:afterLines="30" w:after="72"/>
              <w:jc w:val="left"/>
              <w:rPr>
                <w:rFonts w:ascii="Times New Roman" w:eastAsia="Times New Roman" w:hAnsi="Times New Roman"/>
                <w:kern w:val="0"/>
                <w:szCs w:val="21"/>
              </w:rPr>
            </w:pPr>
            <w:r w:rsidRPr="0024133B">
              <w:rPr>
                <w:rFonts w:ascii="Times New Roman" w:eastAsia="Times New Roman" w:hAnsi="Times New Roman"/>
                <w:kern w:val="0"/>
                <w:szCs w:val="21"/>
              </w:rPr>
              <w:t>Age</w:t>
            </w:r>
          </w:p>
        </w:tc>
        <w:tc>
          <w:tcPr>
            <w:tcW w:w="2526" w:type="pct"/>
            <w:shd w:val="clear" w:color="auto" w:fill="auto"/>
            <w:vAlign w:val="center"/>
          </w:tcPr>
          <w:p w14:paraId="17F4FA72" w14:textId="77777777" w:rsidR="00695CAB" w:rsidRPr="0024133B" w:rsidRDefault="00695CAB" w:rsidP="0075750D">
            <w:pPr>
              <w:widowControl/>
              <w:snapToGrid w:val="0"/>
              <w:spacing w:beforeLines="30" w:before="72" w:afterLines="30" w:after="72"/>
              <w:jc w:val="center"/>
              <w:rPr>
                <w:rFonts w:ascii="Times New Roman" w:eastAsia="Times New Roman" w:hAnsi="Times New Roman"/>
                <w:kern w:val="0"/>
                <w:szCs w:val="21"/>
              </w:rPr>
            </w:pPr>
            <w:r w:rsidRPr="0024133B">
              <w:rPr>
                <w:rFonts w:ascii="Times New Roman" w:eastAsia="Times New Roman" w:hAnsi="Times New Roman"/>
                <w:kern w:val="0"/>
                <w:szCs w:val="21"/>
              </w:rPr>
              <w:t>9.0</w:t>
            </w:r>
          </w:p>
        </w:tc>
      </w:tr>
      <w:tr w:rsidR="00695CAB" w:rsidRPr="0024133B" w14:paraId="6D29EC93" w14:textId="77777777" w:rsidTr="0075750D">
        <w:trPr>
          <w:trHeight w:val="315"/>
          <w:jc w:val="center"/>
        </w:trPr>
        <w:tc>
          <w:tcPr>
            <w:tcW w:w="2474" w:type="pct"/>
            <w:shd w:val="clear" w:color="auto" w:fill="auto"/>
            <w:vAlign w:val="center"/>
          </w:tcPr>
          <w:p w14:paraId="124D51FF" w14:textId="77777777" w:rsidR="00695CAB" w:rsidRPr="0024133B" w:rsidRDefault="00695CAB" w:rsidP="0075750D">
            <w:pPr>
              <w:widowControl/>
              <w:snapToGrid w:val="0"/>
              <w:spacing w:beforeLines="30" w:before="72" w:afterLines="30" w:after="72"/>
              <w:jc w:val="left"/>
              <w:rPr>
                <w:rFonts w:ascii="Times New Roman" w:eastAsia="Times New Roman" w:hAnsi="Times New Roman"/>
                <w:kern w:val="0"/>
                <w:szCs w:val="21"/>
              </w:rPr>
            </w:pPr>
            <w:bookmarkStart w:id="8" w:name="_Hlk89038979"/>
            <w:r w:rsidRPr="0024133B">
              <w:rPr>
                <w:rFonts w:ascii="Times New Roman" w:eastAsia="Times New Roman" w:hAnsi="Times New Roman"/>
                <w:kern w:val="0"/>
                <w:szCs w:val="21"/>
              </w:rPr>
              <w:t xml:space="preserve">Distance </w:t>
            </w:r>
            <w:r w:rsidRPr="0024133B">
              <w:rPr>
                <w:rFonts w:ascii="Times New Roman" w:hAnsi="Times New Roman"/>
                <w:kern w:val="0"/>
                <w:szCs w:val="21"/>
              </w:rPr>
              <w:t>from</w:t>
            </w:r>
            <w:r w:rsidRPr="0024133B">
              <w:rPr>
                <w:rFonts w:ascii="Times New Roman" w:eastAsia="Times New Roman" w:hAnsi="Times New Roman"/>
                <w:kern w:val="0"/>
                <w:szCs w:val="21"/>
              </w:rPr>
              <w:t xml:space="preserve"> household</w:t>
            </w:r>
            <w:r w:rsidRPr="0024133B">
              <w:rPr>
                <w:rFonts w:ascii="Times New Roman" w:hAnsi="Times New Roman"/>
                <w:kern w:val="0"/>
                <w:szCs w:val="21"/>
              </w:rPr>
              <w:t xml:space="preserve"> to metropolis</w:t>
            </w:r>
          </w:p>
        </w:tc>
        <w:tc>
          <w:tcPr>
            <w:tcW w:w="2526" w:type="pct"/>
            <w:shd w:val="clear" w:color="auto" w:fill="auto"/>
            <w:vAlign w:val="center"/>
          </w:tcPr>
          <w:p w14:paraId="3B4F52D8" w14:textId="77777777" w:rsidR="00695CAB" w:rsidRPr="0024133B" w:rsidRDefault="00695CAB" w:rsidP="0075750D">
            <w:pPr>
              <w:widowControl/>
              <w:snapToGrid w:val="0"/>
              <w:spacing w:beforeLines="30" w:before="72" w:afterLines="30" w:after="72"/>
              <w:jc w:val="center"/>
              <w:rPr>
                <w:rFonts w:ascii="Times New Roman" w:eastAsia="Times New Roman" w:hAnsi="Times New Roman"/>
                <w:kern w:val="0"/>
                <w:szCs w:val="21"/>
              </w:rPr>
            </w:pPr>
            <w:r w:rsidRPr="0024133B">
              <w:rPr>
                <w:rFonts w:ascii="Times New Roman" w:eastAsia="Times New Roman" w:hAnsi="Times New Roman"/>
                <w:kern w:val="0"/>
                <w:szCs w:val="21"/>
              </w:rPr>
              <w:t>4.6</w:t>
            </w:r>
          </w:p>
        </w:tc>
      </w:tr>
      <w:bookmarkEnd w:id="8"/>
    </w:tbl>
    <w:p w14:paraId="7C65C7DF" w14:textId="77777777" w:rsidR="00695CAB" w:rsidRPr="0024133B" w:rsidRDefault="00695CAB" w:rsidP="00695CAB">
      <w:pPr>
        <w:snapToGrid w:val="0"/>
        <w:spacing w:before="120" w:after="120"/>
        <w:rPr>
          <w:rFonts w:ascii="Times New Roman" w:hAnsi="Times New Roman"/>
          <w:b/>
          <w:sz w:val="18"/>
        </w:rPr>
        <w:sectPr w:rsidR="00695CAB" w:rsidRPr="0024133B" w:rsidSect="009224D4">
          <w:headerReference w:type="even" r:id="rId8"/>
          <w:headerReference w:type="default" r:id="rId9"/>
          <w:footerReference w:type="even" r:id="rId10"/>
          <w:footerReference w:type="default" r:id="rId11"/>
          <w:headerReference w:type="first" r:id="rId12"/>
          <w:footerReference w:type="first" r:id="rId13"/>
          <w:pgSz w:w="15840" w:h="12240" w:orient="landscape"/>
          <w:pgMar w:top="1440" w:right="1440" w:bottom="1440" w:left="1440" w:header="720" w:footer="720" w:gutter="0"/>
          <w:cols w:space="720"/>
          <w:docGrid w:linePitch="360"/>
        </w:sectPr>
      </w:pPr>
    </w:p>
    <w:p w14:paraId="67B1BB9B" w14:textId="77777777" w:rsidR="00695CAB" w:rsidRPr="0024133B" w:rsidRDefault="00695CAB" w:rsidP="00695CAB">
      <w:pPr>
        <w:snapToGrid w:val="0"/>
        <w:spacing w:beforeLines="50" w:before="156" w:afterLines="50" w:after="156" w:line="360" w:lineRule="auto"/>
        <w:rPr>
          <w:rFonts w:ascii="Times New Roman" w:hAnsi="Times New Roman"/>
          <w:b/>
          <w:sz w:val="28"/>
        </w:rPr>
      </w:pPr>
      <w:r w:rsidRPr="0024133B">
        <w:rPr>
          <w:rFonts w:ascii="Times New Roman" w:hAnsi="Times New Roman"/>
          <w:b/>
          <w:sz w:val="28"/>
        </w:rPr>
        <w:lastRenderedPageBreak/>
        <w:t xml:space="preserve"> Reference A</w:t>
      </w:r>
    </w:p>
    <w:p w14:paraId="2877246B"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fldChar w:fldCharType="begin"/>
      </w:r>
      <w:r w:rsidRPr="0024133B">
        <w:rPr>
          <w:rFonts w:ascii="Times New Roman" w:hAnsi="Times New Roman"/>
          <w:kern w:val="0"/>
          <w:sz w:val="20"/>
          <w:szCs w:val="20"/>
        </w:rPr>
        <w:instrText xml:space="preserve"> ADDIN ZOTERO_BIBL {"uncited":[],"omitted":[],"custom":[]} CSL_BIBLIOGRAPHY </w:instrText>
      </w:r>
      <w:r w:rsidRPr="0024133B">
        <w:rPr>
          <w:rFonts w:ascii="Times New Roman" w:hAnsi="Times New Roman"/>
          <w:kern w:val="0"/>
          <w:sz w:val="20"/>
          <w:szCs w:val="20"/>
        </w:rPr>
        <w:fldChar w:fldCharType="separate"/>
      </w:r>
      <w:r w:rsidRPr="0024133B">
        <w:rPr>
          <w:rFonts w:ascii="Times New Roman" w:hAnsi="Times New Roman"/>
          <w:kern w:val="0"/>
          <w:sz w:val="20"/>
          <w:szCs w:val="20"/>
        </w:rPr>
        <w:t>[1]</w:t>
      </w:r>
      <w:r w:rsidRPr="0024133B">
        <w:rPr>
          <w:rFonts w:ascii="Times New Roman" w:hAnsi="Times New Roman"/>
          <w:kern w:val="0"/>
          <w:sz w:val="20"/>
          <w:szCs w:val="20"/>
        </w:rPr>
        <w:tab/>
        <w:t>Tu, Q., Lei Zhang, Mol, A.P.J., Ruben, R. Do trust and property security increase households’ contributions to public goods? : the case of sloping land conservation program resource in rural China. China Econ Rev 2006;22:499–511.</w:t>
      </w:r>
    </w:p>
    <w:p w14:paraId="7DBCE10D"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[2]</w:t>
      </w:r>
      <w:r w:rsidRPr="0024133B">
        <w:rPr>
          <w:rFonts w:ascii="Times New Roman" w:hAnsi="Times New Roman"/>
          <w:kern w:val="0"/>
          <w:sz w:val="20"/>
          <w:szCs w:val="20"/>
        </w:rPr>
        <w:tab/>
        <w:t xml:space="preserve">Chen C, Matzdorf B, Meyer C, König HJ, Zhen L. How socioeconomic and institutional conditions at the household level shape the environmental effectiveness of governmental payments for ecosystem services program. Ecosyst People 2019;15:317–30. </w:t>
      </w:r>
    </w:p>
    <w:p w14:paraId="5212BB2A"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[3]</w:t>
      </w:r>
      <w:r w:rsidRPr="0024133B">
        <w:rPr>
          <w:rFonts w:ascii="Times New Roman" w:hAnsi="Times New Roman"/>
          <w:kern w:val="0"/>
          <w:sz w:val="20"/>
          <w:szCs w:val="20"/>
        </w:rPr>
        <w:tab/>
        <w:t>Mullan K, Grosjean P, Kontoleon A. Land Tenure Arrangements and Rural–Urban Migration in China. World Dev 2011;39:123–33.</w:t>
      </w:r>
    </w:p>
    <w:p w14:paraId="33A31572"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[4]</w:t>
      </w:r>
      <w:r w:rsidRPr="0024133B">
        <w:rPr>
          <w:rFonts w:ascii="Times New Roman" w:hAnsi="Times New Roman"/>
          <w:kern w:val="0"/>
          <w:sz w:val="20"/>
          <w:szCs w:val="20"/>
        </w:rPr>
        <w:tab/>
        <w:t>Bennett MT, Xie C, Hogarth NJ, Peng D, Putzel L. China’s Conversion of Cropland to Forest Program for Household Delivery of Ecosystem Services: How Important is a Local Implementation Regime to Survival Rate Outcomes? Forests 2014;5:2345–76.</w:t>
      </w:r>
    </w:p>
    <w:p w14:paraId="127A926E"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[5]</w:t>
      </w:r>
      <w:r w:rsidRPr="0024133B">
        <w:rPr>
          <w:rFonts w:ascii="Times New Roman" w:hAnsi="Times New Roman"/>
          <w:kern w:val="0"/>
          <w:sz w:val="20"/>
          <w:szCs w:val="20"/>
        </w:rPr>
        <w:tab/>
        <w:t xml:space="preserve">Hu C-X, Fu B-J, Chen L-D, Gulinck H. Farmer’s attitudes towards the Grain-for-Green programme in the Loess hilly area, China: A case study in two small catchments. Int J Sustain Dev World Ecol 2006;13:211–20. </w:t>
      </w:r>
    </w:p>
    <w:p w14:paraId="03503B8A"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[6]</w:t>
      </w:r>
      <w:r w:rsidRPr="0024133B">
        <w:rPr>
          <w:rFonts w:ascii="Times New Roman" w:hAnsi="Times New Roman"/>
          <w:kern w:val="0"/>
          <w:sz w:val="20"/>
          <w:szCs w:val="20"/>
        </w:rPr>
        <w:tab/>
        <w:t xml:space="preserve">Li H, Yao S, Yin R, Liu G. Assessing the decadal impact of China’s sloping land conversion program on household income under enrollment and earning differentiation. For Policy Econ 2015;61:95–103. </w:t>
      </w:r>
    </w:p>
    <w:p w14:paraId="3808CBBD"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[7]</w:t>
      </w:r>
      <w:r w:rsidRPr="0024133B">
        <w:rPr>
          <w:rFonts w:ascii="Times New Roman" w:hAnsi="Times New Roman"/>
          <w:kern w:val="0"/>
          <w:sz w:val="20"/>
          <w:szCs w:val="20"/>
        </w:rPr>
        <w:tab/>
        <w:t>Xu J, Tao R, Xu Z, Bennett MT. China’s Sloping Land Conversion Program: Does Expansion Equal Success? Land Econ 2010;86:219–44.</w:t>
      </w:r>
    </w:p>
    <w:p w14:paraId="447CEAC1"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[8]</w:t>
      </w:r>
      <w:r w:rsidRPr="0024133B">
        <w:rPr>
          <w:rFonts w:ascii="Times New Roman" w:hAnsi="Times New Roman"/>
          <w:kern w:val="0"/>
          <w:sz w:val="20"/>
          <w:szCs w:val="20"/>
        </w:rPr>
        <w:tab/>
        <w:t xml:space="preserve">Uchida E, Rozelle S, Xu J. Conservation Payments, Liquidity Constraints, and Off-Farm Labor: Impact of the Grain-for-Green Program on Rural Households in China. Am J Agric Econ 2009;91:70–86. </w:t>
      </w:r>
    </w:p>
    <w:p w14:paraId="0746B779"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[9]</w:t>
      </w:r>
      <w:r w:rsidRPr="0024133B">
        <w:rPr>
          <w:rFonts w:ascii="Times New Roman" w:hAnsi="Times New Roman"/>
          <w:kern w:val="0"/>
          <w:sz w:val="20"/>
          <w:szCs w:val="20"/>
        </w:rPr>
        <w:tab/>
        <w:t>Komarek AM, Shi X, Heerink N. Household-level effects of China’s Sloping Land Conversion Program under price and policy shifts. Land Use Policy 2014;40:36–44. https://doi.org/10.1016/j.landusepol.2013.04.013.</w:t>
      </w:r>
    </w:p>
    <w:p w14:paraId="3EF949C4"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[10]</w:t>
      </w:r>
      <w:r w:rsidRPr="0024133B">
        <w:rPr>
          <w:rFonts w:ascii="Times New Roman" w:hAnsi="Times New Roman"/>
          <w:kern w:val="0"/>
          <w:sz w:val="20"/>
          <w:szCs w:val="20"/>
        </w:rPr>
        <w:tab/>
        <w:t xml:space="preserve">He J, Sikor T. Notions of justice in payments for ecosystem services: Insights from China’s Sloping Land Conversion Program in Yunnan Province. Land Use Policy 2015;43:207–16. </w:t>
      </w:r>
    </w:p>
    <w:p w14:paraId="7C8FAF81"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[11]</w:t>
      </w:r>
      <w:r w:rsidRPr="0024133B">
        <w:rPr>
          <w:rFonts w:ascii="Times New Roman" w:hAnsi="Times New Roman"/>
          <w:kern w:val="0"/>
          <w:sz w:val="20"/>
          <w:szCs w:val="20"/>
        </w:rPr>
        <w:tab/>
        <w:t>Li J, Bluemling B, Dries L, Feng S. Smallholder participation in large forestry programmes: the Camellia programme in Jiangxi province, China. Int J Entrep Innov 2014;15:45–51.</w:t>
      </w:r>
    </w:p>
    <w:p w14:paraId="2F4CD6C2"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[12]</w:t>
      </w:r>
      <w:r w:rsidRPr="0024133B">
        <w:rPr>
          <w:rFonts w:ascii="Times New Roman" w:hAnsi="Times New Roman"/>
          <w:kern w:val="0"/>
          <w:sz w:val="20"/>
          <w:szCs w:val="20"/>
        </w:rPr>
        <w:tab/>
        <w:t xml:space="preserve">Yin R, Liu H, Liu C, Lu G. Households’ Decisions to Participate in China’s Sloping Land Conversion Program and Reallocate Their Labour Times: Is There Endogeneity Bias? Ecol Econ 2018;145:380–90. </w:t>
      </w:r>
    </w:p>
    <w:p w14:paraId="31D7A3B9"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lastRenderedPageBreak/>
        <w:t>[13]</w:t>
      </w:r>
      <w:r w:rsidRPr="0024133B">
        <w:rPr>
          <w:rFonts w:ascii="Times New Roman" w:hAnsi="Times New Roman"/>
          <w:kern w:val="0"/>
          <w:sz w:val="20"/>
          <w:szCs w:val="20"/>
        </w:rPr>
        <w:tab/>
        <w:t xml:space="preserve">Chen X, Lupi F, Viña A, He G, Liu J. Using Cost-Effective Targeting to Enhance the Efficiency of Conservation Investments in Payments for Ecosystem Services: Cost-Effective Targeting of PES. Conserv Biol 2010;24:1469–78. </w:t>
      </w:r>
    </w:p>
    <w:p w14:paraId="38B0C27B"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[14]</w:t>
      </w:r>
      <w:r w:rsidRPr="0024133B">
        <w:rPr>
          <w:rFonts w:ascii="Times New Roman" w:hAnsi="Times New Roman"/>
          <w:kern w:val="0"/>
          <w:sz w:val="20"/>
          <w:szCs w:val="20"/>
        </w:rPr>
        <w:tab/>
        <w:t>Ren L, Li J. Reconversion willingness of compensation-expired households in key phase of Sloping Land Conversion Program. China Popul Environ 2017;27:132–40.</w:t>
      </w:r>
    </w:p>
    <w:p w14:paraId="7021AD17"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[15]</w:t>
      </w:r>
      <w:r w:rsidRPr="0024133B">
        <w:rPr>
          <w:rFonts w:ascii="Times New Roman" w:hAnsi="Times New Roman"/>
          <w:kern w:val="0"/>
          <w:sz w:val="20"/>
          <w:szCs w:val="20"/>
        </w:rPr>
        <w:tab/>
        <w:t>Zhang Z, Paudel KP. Policy improvements and farmers’ willingness to participate: Insights from the new round of China’s Sloping Land Conversion Program. Ecol Econ 2019;162:121–32.</w:t>
      </w:r>
    </w:p>
    <w:p w14:paraId="56FA4556"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[16]</w:t>
      </w:r>
      <w:r w:rsidRPr="0024133B">
        <w:rPr>
          <w:rFonts w:ascii="Times New Roman" w:hAnsi="Times New Roman"/>
          <w:kern w:val="0"/>
          <w:sz w:val="20"/>
          <w:szCs w:val="20"/>
        </w:rPr>
        <w:tab/>
        <w:t>Wang B, Hou J, Han S. Analyzing the willingness of farmers in Grain of Green- A survey of farmers’ willingness in Shannxi province. Probl For Econ 2007;27:185–8.</w:t>
      </w:r>
    </w:p>
    <w:p w14:paraId="5A42E95B"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[17]</w:t>
      </w:r>
      <w:r w:rsidRPr="0024133B">
        <w:rPr>
          <w:rFonts w:ascii="Times New Roman" w:hAnsi="Times New Roman"/>
          <w:kern w:val="0"/>
          <w:sz w:val="20"/>
          <w:szCs w:val="20"/>
        </w:rPr>
        <w:tab/>
        <w:t>Guo H, Li B, Hao L, Guo W, Liu H, Hong R. Research on the response of different types of farmers to Grain for Green: a case study of Zhungeerqi. Ecol Econ Chin 2011;11:38–41.</w:t>
      </w:r>
    </w:p>
    <w:p w14:paraId="53FF1E3A"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[18]</w:t>
      </w:r>
      <w:r w:rsidRPr="0024133B">
        <w:rPr>
          <w:rFonts w:ascii="Times New Roman" w:hAnsi="Times New Roman"/>
          <w:kern w:val="0"/>
          <w:sz w:val="20"/>
          <w:szCs w:val="20"/>
        </w:rPr>
        <w:tab/>
        <w:t>Wang L. Research on the influencing factors of farmers’ willingness to participate in GTGP: based on the survey data of Liaoning province. J Liaoning For Sci Technol 2018;6:40–3.</w:t>
      </w:r>
    </w:p>
    <w:p w14:paraId="7D376C8F"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[19]</w:t>
      </w:r>
      <w:r w:rsidRPr="0024133B">
        <w:rPr>
          <w:rFonts w:ascii="Times New Roman" w:hAnsi="Times New Roman"/>
          <w:kern w:val="0"/>
          <w:sz w:val="20"/>
          <w:szCs w:val="20"/>
        </w:rPr>
        <w:tab/>
        <w:t>Wan H, Li C. Study on the participation in decision-making on Sloping Land Conversion Program for peasants. Stat Res 2013;30:83–91.</w:t>
      </w:r>
    </w:p>
    <w:p w14:paraId="524CB3D1"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[20]</w:t>
      </w:r>
      <w:r w:rsidRPr="0024133B">
        <w:rPr>
          <w:rFonts w:ascii="Times New Roman" w:hAnsi="Times New Roman"/>
          <w:kern w:val="0"/>
          <w:sz w:val="20"/>
          <w:szCs w:val="20"/>
        </w:rPr>
        <w:tab/>
        <w:t>Chen Z, Ma N, Qi Y. Farmers’ participation willingness of the Grain for Green Project analysis based on fuzzy cluster-Taking Yunnan and Gansu province as examples. For Econ Chin 2014;6:64–8.</w:t>
      </w:r>
    </w:p>
    <w:p w14:paraId="639B3B28"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[21]</w:t>
      </w:r>
      <w:r w:rsidRPr="0024133B">
        <w:rPr>
          <w:rFonts w:ascii="Times New Roman" w:hAnsi="Times New Roman"/>
          <w:kern w:val="0"/>
          <w:sz w:val="20"/>
          <w:szCs w:val="20"/>
        </w:rPr>
        <w:tab/>
        <w:t>Xie C, Huang D, Yu H, Yuan M, Peng W, Peng D, et al. Government supervision and farm household decision-making: analysis of the consolidation of results of Grain for Green Projects-based on the survey of 2120 households from 24 provinces. For Econ Chin 2014;3:9–15.</w:t>
      </w:r>
    </w:p>
    <w:p w14:paraId="55394C64"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[22]</w:t>
      </w:r>
      <w:r w:rsidRPr="0024133B">
        <w:rPr>
          <w:rFonts w:ascii="Times New Roman" w:hAnsi="Times New Roman"/>
          <w:kern w:val="0"/>
          <w:sz w:val="20"/>
          <w:szCs w:val="20"/>
        </w:rPr>
        <w:tab/>
        <w:t xml:space="preserve">Huang J, Zhao H, Liu Y, Yang J. Assessing the Impact of the Sloping Land Conversion Program on Rural Household Income in the Upper Reaches of Minjiang River, China. J Resour Ecol 2018;9:516–25. </w:t>
      </w:r>
    </w:p>
    <w:p w14:paraId="12347086"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[23]</w:t>
      </w:r>
      <w:r w:rsidRPr="0024133B">
        <w:rPr>
          <w:rFonts w:ascii="Times New Roman" w:hAnsi="Times New Roman"/>
          <w:kern w:val="0"/>
          <w:sz w:val="20"/>
          <w:szCs w:val="20"/>
        </w:rPr>
        <w:tab/>
        <w:t xml:space="preserve">Démurger S, Pelletier A. Volunteer and satisfied? Rural households’ participation in a payments for environmental services programme in Inner Mongolia. Ecol Econ 2015;116:25–33. </w:t>
      </w:r>
    </w:p>
    <w:p w14:paraId="00CD7024"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[24]</w:t>
      </w:r>
      <w:r w:rsidRPr="0024133B">
        <w:rPr>
          <w:rFonts w:ascii="Times New Roman" w:hAnsi="Times New Roman"/>
          <w:kern w:val="0"/>
          <w:sz w:val="20"/>
          <w:szCs w:val="20"/>
        </w:rPr>
        <w:tab/>
        <w:t xml:space="preserve">Weyerhaeuser H, Wilkes A, Kahrl F. Local impacts and responses to regional forest conservation and rehabilitation programs in China’s northwest Yunnan province. Agric Syst 2005;85:234–53. </w:t>
      </w:r>
    </w:p>
    <w:p w14:paraId="6453D60A"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[25]</w:t>
      </w:r>
      <w:r w:rsidRPr="0024133B">
        <w:rPr>
          <w:rFonts w:ascii="Times New Roman" w:hAnsi="Times New Roman"/>
          <w:kern w:val="0"/>
          <w:sz w:val="20"/>
          <w:szCs w:val="20"/>
        </w:rPr>
        <w:tab/>
        <w:t xml:space="preserve">Kelly P, Huo X. Do farmers or governments make better land conservation choices? Evidence from China’s Sloping Land Conversion Program. J For Econ 2013;19:32–60. </w:t>
      </w:r>
    </w:p>
    <w:p w14:paraId="7F4729FA"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lang w:val="fr-FR"/>
        </w:rPr>
        <w:t>[26]</w:t>
      </w:r>
      <w:r w:rsidRPr="0024133B">
        <w:rPr>
          <w:rFonts w:ascii="Times New Roman" w:hAnsi="Times New Roman"/>
          <w:kern w:val="0"/>
          <w:sz w:val="20"/>
          <w:szCs w:val="20"/>
          <w:lang w:val="fr-FR"/>
        </w:rPr>
        <w:tab/>
        <w:t xml:space="preserve">Qu M, Liu G, Lin Y, Driedger E, Peter Z, Xu X, et al. </w:t>
      </w:r>
      <w:r w:rsidRPr="0024133B">
        <w:rPr>
          <w:rFonts w:ascii="Times New Roman" w:hAnsi="Times New Roman"/>
          <w:kern w:val="0"/>
          <w:sz w:val="20"/>
          <w:szCs w:val="20"/>
        </w:rPr>
        <w:t xml:space="preserve">Experts’ perceptions of the sloping land conversion program in the Loess Plateau, China. Land Use Policy 2017;69:204–10. </w:t>
      </w:r>
    </w:p>
    <w:p w14:paraId="68225A26"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[27]</w:t>
      </w:r>
      <w:r w:rsidRPr="0024133B">
        <w:rPr>
          <w:rFonts w:ascii="Times New Roman" w:hAnsi="Times New Roman"/>
          <w:kern w:val="0"/>
          <w:sz w:val="20"/>
          <w:szCs w:val="20"/>
        </w:rPr>
        <w:tab/>
        <w:t>Zhang W, Li G. Ecological compensation, psychological factors, willingness and behavior of ecological protection in the Qinba ecological function area. Resour Sci Chin 2017;39:881–92.</w:t>
      </w:r>
    </w:p>
    <w:p w14:paraId="08E9473D"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lastRenderedPageBreak/>
        <w:t>[28]</w:t>
      </w:r>
      <w:r w:rsidRPr="0024133B">
        <w:rPr>
          <w:rFonts w:ascii="Times New Roman" w:hAnsi="Times New Roman"/>
          <w:kern w:val="0"/>
          <w:sz w:val="20"/>
          <w:szCs w:val="20"/>
        </w:rPr>
        <w:tab/>
        <w:t>Su Y, Peng D, Xie C, Huang D. Achievements and trends of Grain for Green Program in Northwest China – Analysis based on surveying 739 rural households in 5 provinces in Northwest China and Inner Mongolia autonomous region. Bull Soil Water Conserv 2011;6:199–202.</w:t>
      </w:r>
    </w:p>
    <w:p w14:paraId="785EA40E"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[29]</w:t>
      </w:r>
      <w:r w:rsidRPr="0024133B">
        <w:rPr>
          <w:rFonts w:ascii="Times New Roman" w:hAnsi="Times New Roman"/>
          <w:kern w:val="0"/>
          <w:sz w:val="20"/>
          <w:szCs w:val="20"/>
        </w:rPr>
        <w:tab/>
        <w:t xml:space="preserve">Miyasaka T, Le QB, Okuro T, Zhao X, Takeuchi K. Agent-based modeling of complex social–ecological feedback loops to assess multi-dimensional trade-offs in dryland ecosystem services. Landsc Ecol 2017;32:707–27. </w:t>
      </w:r>
    </w:p>
    <w:p w14:paraId="61C8B66E"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[30]</w:t>
      </w:r>
      <w:r w:rsidRPr="0024133B">
        <w:rPr>
          <w:rFonts w:ascii="Times New Roman" w:hAnsi="Times New Roman"/>
          <w:kern w:val="0"/>
          <w:sz w:val="20"/>
          <w:szCs w:val="20"/>
        </w:rPr>
        <w:tab/>
        <w:t xml:space="preserve">Zhao M, Yin R, Yao L, Xu T. Assessing the impact of China’s sloping land conversion program on household production efficiency under spatial heterogeneity and output diversification. China Agric Econ Rev 2015;7:221–39. </w:t>
      </w:r>
    </w:p>
    <w:p w14:paraId="6C0B71D9"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[31]</w:t>
      </w:r>
      <w:r w:rsidRPr="0024133B">
        <w:rPr>
          <w:rFonts w:ascii="Times New Roman" w:hAnsi="Times New Roman"/>
          <w:kern w:val="0"/>
          <w:sz w:val="20"/>
          <w:szCs w:val="20"/>
        </w:rPr>
        <w:tab/>
        <w:t>Wang Y, Hao H, Zhang H, Zhai R, Lv H, Zhou M. Willingness of farm households in national nature reserves to participate in ecological compensation and its affecting factors. J Ecol Rural Environ 2016;32:895–900. https://doi.org/10.11934/j.issn.1673-4831.2016.06.005.</w:t>
      </w:r>
    </w:p>
    <w:p w14:paraId="0E1B9483"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[32]</w:t>
      </w:r>
      <w:r w:rsidRPr="0024133B">
        <w:rPr>
          <w:rFonts w:ascii="Times New Roman" w:hAnsi="Times New Roman"/>
          <w:kern w:val="0"/>
          <w:sz w:val="20"/>
          <w:szCs w:val="20"/>
        </w:rPr>
        <w:tab/>
        <w:t xml:space="preserve">Hao L, Mullan K, Rong Q, Zhu WB. Have the Key Priority Forestry Programs Really Impacted on China’s Rural Household Income. Rochester, NY: Social Science Research Network; 2013. </w:t>
      </w:r>
    </w:p>
    <w:p w14:paraId="531D10AC"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[33]</w:t>
      </w:r>
      <w:r w:rsidRPr="0024133B">
        <w:rPr>
          <w:rFonts w:ascii="Times New Roman" w:hAnsi="Times New Roman"/>
          <w:kern w:val="0"/>
          <w:sz w:val="20"/>
          <w:szCs w:val="20"/>
        </w:rPr>
        <w:tab/>
        <w:t>Yang J, Mao X. Examination of the choice cognizance for farmers in Grain for Green Project from economics perspective. China Popul Resour Environ 2005;15:99–102.</w:t>
      </w:r>
    </w:p>
    <w:p w14:paraId="1D158156"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[34]</w:t>
      </w:r>
      <w:r w:rsidRPr="0024133B">
        <w:rPr>
          <w:rFonts w:ascii="Times New Roman" w:hAnsi="Times New Roman"/>
          <w:kern w:val="0"/>
          <w:sz w:val="20"/>
          <w:szCs w:val="20"/>
        </w:rPr>
        <w:tab/>
        <w:t xml:space="preserve">Mao Q, Wang W, Oniki S, Kagatsume M, Yu J. Experimental Measure of Rural Household Risk Preference: The Case of the SLCP Area in Northern Shaanxi, China. Jpn Agric Res Q JARQ 2016;50:253–65. </w:t>
      </w:r>
    </w:p>
    <w:p w14:paraId="5D0F7477"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[35]</w:t>
      </w:r>
      <w:r w:rsidRPr="0024133B">
        <w:rPr>
          <w:rFonts w:ascii="Times New Roman" w:hAnsi="Times New Roman"/>
          <w:kern w:val="0"/>
          <w:sz w:val="20"/>
          <w:szCs w:val="20"/>
        </w:rPr>
        <w:tab/>
        <w:t>Chen R, Deng R, Jiang Z, Xie C. Comparative analysis of regional factors influencing land reconversion possibility in returning farmland to forest and grassland project areas in China. Resour Sci 2016;38:2013–23.</w:t>
      </w:r>
    </w:p>
    <w:p w14:paraId="34F3EA39"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[36]</w:t>
      </w:r>
      <w:r w:rsidRPr="0024133B">
        <w:rPr>
          <w:rFonts w:ascii="Times New Roman" w:hAnsi="Times New Roman"/>
          <w:kern w:val="0"/>
          <w:sz w:val="20"/>
          <w:szCs w:val="20"/>
        </w:rPr>
        <w:tab/>
        <w:t>Yu Y. Farmers’ willingness to accept for maintaining the Grain for Green: An empirical analysis based on Wanzhou district in Chongqing. J Arid Land Resour Environ 2015;29:65–70.</w:t>
      </w:r>
    </w:p>
    <w:p w14:paraId="0C6D6341"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[37]</w:t>
      </w:r>
      <w:r w:rsidRPr="0024133B">
        <w:rPr>
          <w:rFonts w:ascii="Times New Roman" w:hAnsi="Times New Roman"/>
          <w:kern w:val="0"/>
          <w:sz w:val="20"/>
          <w:szCs w:val="20"/>
        </w:rPr>
        <w:tab/>
        <w:t>Liu Y, Dong Y. Factors influencing farmers willingness to participate in Grain for Green Project in the Post-program era. Econ Geogr Chin 2014;34:131–8.</w:t>
      </w:r>
    </w:p>
    <w:p w14:paraId="5B856038"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[38]</w:t>
      </w:r>
      <w:r w:rsidRPr="0024133B">
        <w:rPr>
          <w:rFonts w:ascii="Times New Roman" w:hAnsi="Times New Roman"/>
          <w:kern w:val="0"/>
          <w:sz w:val="20"/>
          <w:szCs w:val="20"/>
        </w:rPr>
        <w:tab/>
        <w:t>Feng L, Xu J. Farmers’ Willingness to Participate in the Next-Stage Grain-for-Green Project in the Three Gorges Reservoir Area, China. Environ Manage 2015;56:505–18.</w:t>
      </w:r>
    </w:p>
    <w:p w14:paraId="26C9399C"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[39]</w:t>
      </w:r>
      <w:r w:rsidRPr="0024133B">
        <w:rPr>
          <w:rFonts w:ascii="Times New Roman" w:hAnsi="Times New Roman"/>
          <w:kern w:val="0"/>
          <w:sz w:val="20"/>
          <w:szCs w:val="20"/>
        </w:rPr>
        <w:tab/>
        <w:t xml:space="preserve">Sun Z, Müller D. A framework for modeling payments for ecosystem services with agent-based models, Bayesian belief networks and opinion dynamics models. Environ Model Softw 2013;45:15–28. </w:t>
      </w:r>
    </w:p>
    <w:p w14:paraId="10B3D36A"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[40]</w:t>
      </w:r>
      <w:r w:rsidRPr="0024133B">
        <w:rPr>
          <w:rFonts w:ascii="Times New Roman" w:hAnsi="Times New Roman"/>
          <w:kern w:val="0"/>
          <w:sz w:val="20"/>
          <w:szCs w:val="20"/>
        </w:rPr>
        <w:tab/>
        <w:t xml:space="preserve">He J. Governing forest restoration: Local case studies of sloping land conversion program in Southwest China. For Policy Econ 2014;46:30–8. </w:t>
      </w:r>
    </w:p>
    <w:p w14:paraId="5DC256C2"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lastRenderedPageBreak/>
        <w:t>[41]</w:t>
      </w:r>
      <w:r w:rsidRPr="0024133B">
        <w:rPr>
          <w:rFonts w:ascii="Times New Roman" w:hAnsi="Times New Roman"/>
          <w:kern w:val="0"/>
          <w:sz w:val="20"/>
          <w:szCs w:val="20"/>
        </w:rPr>
        <w:tab/>
        <w:t>Cao S, Chen L, Yu X. Grain for Green Project willingness evaluation of the farmers in northern Shannxi province of China. Chin J Appl Ecol 2009;20:426–34.</w:t>
      </w:r>
    </w:p>
    <w:p w14:paraId="038734BC"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lang w:val="fr-FR"/>
        </w:rPr>
      </w:pPr>
      <w:r w:rsidRPr="0024133B">
        <w:rPr>
          <w:rFonts w:ascii="Times New Roman" w:hAnsi="Times New Roman"/>
          <w:kern w:val="0"/>
          <w:sz w:val="20"/>
          <w:szCs w:val="20"/>
        </w:rPr>
        <w:t>[42]</w:t>
      </w:r>
      <w:r w:rsidRPr="0024133B">
        <w:rPr>
          <w:rFonts w:ascii="Times New Roman" w:hAnsi="Times New Roman"/>
          <w:kern w:val="0"/>
          <w:sz w:val="20"/>
          <w:szCs w:val="20"/>
        </w:rPr>
        <w:tab/>
        <w:t xml:space="preserve">Yang X, Xu J. Program sustainability and the determinants of farmers’ self-predicted post-program land use decisions: evidence from the Sloping Land Conversion Program (SLCP) in China. </w:t>
      </w:r>
      <w:r w:rsidRPr="0024133B">
        <w:rPr>
          <w:rFonts w:ascii="Times New Roman" w:hAnsi="Times New Roman"/>
          <w:kern w:val="0"/>
          <w:sz w:val="20"/>
          <w:szCs w:val="20"/>
          <w:lang w:val="fr-FR"/>
        </w:rPr>
        <w:t xml:space="preserve">Environ Dev Econ 2014;19:30–47. </w:t>
      </w:r>
    </w:p>
    <w:p w14:paraId="74FEC51E"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lang w:val="fr-FR"/>
        </w:rPr>
        <w:t>[43]</w:t>
      </w:r>
      <w:r w:rsidRPr="0024133B">
        <w:rPr>
          <w:rFonts w:ascii="Times New Roman" w:hAnsi="Times New Roman"/>
          <w:kern w:val="0"/>
          <w:sz w:val="20"/>
          <w:szCs w:val="20"/>
          <w:lang w:val="fr-FR"/>
        </w:rPr>
        <w:tab/>
        <w:t xml:space="preserve">Ma Y, Chen L-D, Hu C-X. </w:t>
      </w:r>
      <w:r w:rsidRPr="0024133B">
        <w:rPr>
          <w:rFonts w:ascii="Times New Roman" w:hAnsi="Times New Roman"/>
          <w:kern w:val="0"/>
          <w:sz w:val="20"/>
          <w:szCs w:val="20"/>
        </w:rPr>
        <w:t>Response of farmer households to “Grain for Green Project” and quantitative analysis of its affecting factors- A case study of Daniu watershed in Gansu province. Sci Geogr Sin 2008;28:426–34.</w:t>
      </w:r>
    </w:p>
    <w:p w14:paraId="6CDD1245"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[44]</w:t>
      </w:r>
      <w:r w:rsidRPr="0024133B">
        <w:rPr>
          <w:rFonts w:ascii="Times New Roman" w:hAnsi="Times New Roman"/>
          <w:kern w:val="0"/>
          <w:sz w:val="20"/>
          <w:szCs w:val="20"/>
        </w:rPr>
        <w:tab/>
        <w:t>Pi H, Zhang M, Xia J. The Ecological Compensation of the Grain for Green Project Based on Farmers’ Willingness to Accept. J Ecol Rural Environ 2018;34:903–9.</w:t>
      </w:r>
    </w:p>
    <w:p w14:paraId="7812E35D"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[45]</w:t>
      </w:r>
      <w:r w:rsidRPr="0024133B">
        <w:rPr>
          <w:rFonts w:ascii="Times New Roman" w:hAnsi="Times New Roman"/>
          <w:kern w:val="0"/>
          <w:sz w:val="20"/>
          <w:szCs w:val="20"/>
        </w:rPr>
        <w:tab/>
        <w:t xml:space="preserve">Zhang B, Li P, Xu Y, Yue X. What Affects Farmers’ Ecocompensation Expectations? An Empirical Study of Returning Farmland to Forest in China. Trop Conserv Sci 2019;12:1940082919857190. </w:t>
      </w:r>
    </w:p>
    <w:p w14:paraId="07A96232" w14:textId="77777777" w:rsidR="00695CAB" w:rsidRPr="0024133B" w:rsidRDefault="00695CAB" w:rsidP="00695CAB">
      <w:pPr>
        <w:widowControl/>
        <w:snapToGrid w:val="0"/>
        <w:spacing w:before="156" w:after="156" w:line="360" w:lineRule="auto"/>
        <w:ind w:left="448" w:hanging="448"/>
        <w:rPr>
          <w:rFonts w:ascii="Times New Roman" w:hAnsi="Times New Roman"/>
          <w:kern w:val="0"/>
          <w:sz w:val="20"/>
          <w:szCs w:val="20"/>
        </w:rPr>
      </w:pPr>
      <w:r w:rsidRPr="0024133B">
        <w:rPr>
          <w:rFonts w:ascii="Times New Roman" w:hAnsi="Times New Roman"/>
          <w:kern w:val="0"/>
          <w:sz w:val="20"/>
          <w:szCs w:val="20"/>
        </w:rPr>
        <w:t>[46]</w:t>
      </w:r>
      <w:r w:rsidRPr="0024133B">
        <w:rPr>
          <w:rFonts w:ascii="Times New Roman" w:hAnsi="Times New Roman"/>
          <w:kern w:val="0"/>
          <w:sz w:val="20"/>
          <w:szCs w:val="20"/>
        </w:rPr>
        <w:tab/>
        <w:t>Chen X, Lupi F, He G, Liu J. Linking social norms to efficient conservation investment in payments for ecosystem services. Proc Natl Acad Sci 2009;106:11812–7.</w:t>
      </w:r>
    </w:p>
    <w:p w14:paraId="0828D1F0" w14:textId="77777777" w:rsidR="00695CAB" w:rsidRPr="001270AE" w:rsidRDefault="00695CAB" w:rsidP="00695CAB">
      <w:pPr>
        <w:widowControl/>
        <w:snapToGrid w:val="0"/>
        <w:spacing w:before="156" w:after="156" w:line="360" w:lineRule="auto"/>
        <w:ind w:left="448" w:hanging="448"/>
        <w:rPr>
          <w:rFonts w:ascii="Times New Roman" w:hAnsi="Times New Roman"/>
          <w:kern w:val="0"/>
          <w:sz w:val="24"/>
          <w:szCs w:val="24"/>
          <w:lang w:eastAsia="en-US"/>
        </w:rPr>
      </w:pPr>
      <w:r w:rsidRPr="0024133B">
        <w:rPr>
          <w:rFonts w:ascii="Times New Roman" w:hAnsi="Times New Roman"/>
          <w:kern w:val="0"/>
          <w:sz w:val="20"/>
          <w:szCs w:val="20"/>
        </w:rPr>
        <w:t>[47]</w:t>
      </w:r>
      <w:r w:rsidRPr="0024133B">
        <w:rPr>
          <w:rFonts w:ascii="Times New Roman" w:hAnsi="Times New Roman"/>
          <w:kern w:val="0"/>
          <w:sz w:val="20"/>
          <w:szCs w:val="20"/>
        </w:rPr>
        <w:tab/>
        <w:t>Jiang Y, Chen K, Chen T, Xu L, Yang S. Forest farmers’ willingness to accept ecological compensation in the upstream of Hunhe river basin and its influential factors. J Arid Land Resour Environ 2018;32:46–52.</w:t>
      </w:r>
      <w:r w:rsidRPr="0024133B">
        <w:rPr>
          <w:rFonts w:ascii="Times New Roman" w:hAnsi="Times New Roman"/>
          <w:kern w:val="0"/>
          <w:sz w:val="20"/>
          <w:szCs w:val="20"/>
        </w:rPr>
        <w:fldChar w:fldCharType="end"/>
      </w:r>
    </w:p>
    <w:p w14:paraId="210A9964" w14:textId="77777777" w:rsidR="00695CAB" w:rsidRPr="001270AE" w:rsidRDefault="00695CAB" w:rsidP="00695CAB">
      <w:pPr>
        <w:widowControl/>
        <w:snapToGrid w:val="0"/>
        <w:spacing w:before="156" w:after="156" w:line="360" w:lineRule="auto"/>
        <w:ind w:left="448" w:hanging="448"/>
        <w:rPr>
          <w:rFonts w:ascii="Times New Roman" w:hAnsi="Times New Roman"/>
          <w:kern w:val="0"/>
          <w:sz w:val="24"/>
          <w:szCs w:val="24"/>
          <w:lang w:eastAsia="en-US"/>
        </w:rPr>
      </w:pPr>
    </w:p>
    <w:p w14:paraId="024AFF11" w14:textId="77777777" w:rsidR="003F6B09" w:rsidRDefault="003F6B09">
      <w:pPr>
        <w:spacing w:before="156" w:after="156"/>
        <w:ind w:firstLine="210"/>
      </w:pPr>
    </w:p>
    <w:sectPr w:rsidR="003F6B09">
      <w:headerReference w:type="even" r:id="rId14"/>
      <w:headerReference w:type="default" r:id="rId15"/>
      <w:footerReference w:type="even" r:id="rId16"/>
      <w:footerReference w:type="default" r:id="rId17"/>
      <w:headerReference w:type="first" r:id="rId18"/>
      <w:footerReference w:type="first" r:id="rId1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2F20E" w14:textId="77777777" w:rsidR="00BB5F30" w:rsidRDefault="00BB5F30" w:rsidP="00695CAB">
      <w:pPr>
        <w:spacing w:before="120" w:after="120"/>
      </w:pPr>
      <w:r>
        <w:separator/>
      </w:r>
    </w:p>
  </w:endnote>
  <w:endnote w:type="continuationSeparator" w:id="0">
    <w:p w14:paraId="109AEFDF" w14:textId="77777777" w:rsidR="00BB5F30" w:rsidRDefault="00BB5F30" w:rsidP="00695CAB">
      <w:pPr>
        <w:spacing w:before="120" w:after="1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正文 CS 字体)">
    <w:altName w:val="Times New Roman"/>
    <w:charset w:val="00"/>
    <w:family w:val="roman"/>
    <w:pitch w:val="variable"/>
    <w:sig w:usb0="E0002AEF" w:usb1="C0007841"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F74AD" w14:textId="77777777" w:rsidR="000677D1" w:rsidRDefault="000677D1">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BD97D" w14:textId="77777777" w:rsidR="000677D1" w:rsidRDefault="000677D1">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E450B" w14:textId="77777777" w:rsidR="000677D1" w:rsidRDefault="000677D1">
    <w:pPr>
      <w:pStyle w:val="a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B2FF6" w14:textId="77777777" w:rsidR="00695CAB" w:rsidRDefault="00695CAB">
    <w:pPr>
      <w:pStyle w:val="ad"/>
      <w:spacing w:before="120" w:after="12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F24FB" w14:textId="77777777" w:rsidR="00695CAB" w:rsidRDefault="00695CAB">
    <w:pPr>
      <w:pStyle w:val="ad"/>
      <w:spacing w:before="120" w:after="12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D0870" w14:textId="77777777" w:rsidR="00695CAB" w:rsidRDefault="00695CAB">
    <w:pPr>
      <w:pStyle w:val="ad"/>
      <w:spacing w:before="120" w:after="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48D79" w14:textId="77777777" w:rsidR="00BB5F30" w:rsidRDefault="00BB5F30" w:rsidP="00695CAB">
      <w:pPr>
        <w:spacing w:before="120" w:after="120"/>
      </w:pPr>
      <w:r>
        <w:separator/>
      </w:r>
    </w:p>
  </w:footnote>
  <w:footnote w:type="continuationSeparator" w:id="0">
    <w:p w14:paraId="1C13A5FD" w14:textId="77777777" w:rsidR="00BB5F30" w:rsidRDefault="00BB5F30" w:rsidP="00695CAB">
      <w:pPr>
        <w:spacing w:before="120" w:after="1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E1EC5" w14:textId="77777777" w:rsidR="000677D1" w:rsidRDefault="000677D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3CA3F" w14:textId="77777777" w:rsidR="000677D1" w:rsidRDefault="000677D1" w:rsidP="009224D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999FF" w14:textId="77777777" w:rsidR="000677D1" w:rsidRDefault="000677D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B1D54" w14:textId="77777777" w:rsidR="00695CAB" w:rsidRDefault="00695CAB">
    <w:pPr>
      <w:pStyle w:val="ac"/>
      <w:spacing w:before="120" w:after="12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B8111" w14:textId="77777777" w:rsidR="00695CAB" w:rsidRDefault="00695CAB">
    <w:pPr>
      <w:pStyle w:val="ac"/>
      <w:spacing w:before="120" w:after="12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20FCB" w14:textId="77777777" w:rsidR="00695CAB" w:rsidRDefault="00695CAB">
    <w:pPr>
      <w:pStyle w:val="ac"/>
      <w:spacing w:before="120"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03A0D"/>
    <w:multiLevelType w:val="hybridMultilevel"/>
    <w:tmpl w:val="A84AC860"/>
    <w:lvl w:ilvl="0" w:tplc="040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248A6D34"/>
    <w:multiLevelType w:val="hybridMultilevel"/>
    <w:tmpl w:val="73ECB31A"/>
    <w:lvl w:ilvl="0" w:tplc="040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2B466A4E"/>
    <w:multiLevelType w:val="hybridMultilevel"/>
    <w:tmpl w:val="07CA2222"/>
    <w:lvl w:ilvl="0" w:tplc="0409000F">
      <w:start w:val="1"/>
      <w:numFmt w:val="decimal"/>
      <w:lvlText w:val="%1."/>
      <w:lvlJc w:val="left"/>
      <w:pPr>
        <w:ind w:left="422" w:hanging="420"/>
      </w:pPr>
    </w:lvl>
    <w:lvl w:ilvl="1" w:tplc="04090019" w:tentative="1">
      <w:start w:val="1"/>
      <w:numFmt w:val="lowerLetter"/>
      <w:lvlText w:val="%2)"/>
      <w:lvlJc w:val="left"/>
      <w:pPr>
        <w:ind w:left="842" w:hanging="420"/>
      </w:pPr>
    </w:lvl>
    <w:lvl w:ilvl="2" w:tplc="0409001B" w:tentative="1">
      <w:start w:val="1"/>
      <w:numFmt w:val="lowerRoman"/>
      <w:lvlText w:val="%3."/>
      <w:lvlJc w:val="right"/>
      <w:pPr>
        <w:ind w:left="1262" w:hanging="420"/>
      </w:pPr>
    </w:lvl>
    <w:lvl w:ilvl="3" w:tplc="0409000F" w:tentative="1">
      <w:start w:val="1"/>
      <w:numFmt w:val="decimal"/>
      <w:lvlText w:val="%4."/>
      <w:lvlJc w:val="left"/>
      <w:pPr>
        <w:ind w:left="1682" w:hanging="420"/>
      </w:pPr>
    </w:lvl>
    <w:lvl w:ilvl="4" w:tplc="04090019" w:tentative="1">
      <w:start w:val="1"/>
      <w:numFmt w:val="lowerLetter"/>
      <w:lvlText w:val="%5)"/>
      <w:lvlJc w:val="left"/>
      <w:pPr>
        <w:ind w:left="2102" w:hanging="420"/>
      </w:pPr>
    </w:lvl>
    <w:lvl w:ilvl="5" w:tplc="0409001B" w:tentative="1">
      <w:start w:val="1"/>
      <w:numFmt w:val="lowerRoman"/>
      <w:lvlText w:val="%6."/>
      <w:lvlJc w:val="right"/>
      <w:pPr>
        <w:ind w:left="2522" w:hanging="420"/>
      </w:pPr>
    </w:lvl>
    <w:lvl w:ilvl="6" w:tplc="0409000F" w:tentative="1">
      <w:start w:val="1"/>
      <w:numFmt w:val="decimal"/>
      <w:lvlText w:val="%7."/>
      <w:lvlJc w:val="left"/>
      <w:pPr>
        <w:ind w:left="2942" w:hanging="420"/>
      </w:pPr>
    </w:lvl>
    <w:lvl w:ilvl="7" w:tplc="04090019" w:tentative="1">
      <w:start w:val="1"/>
      <w:numFmt w:val="lowerLetter"/>
      <w:lvlText w:val="%8)"/>
      <w:lvlJc w:val="left"/>
      <w:pPr>
        <w:ind w:left="3362" w:hanging="420"/>
      </w:pPr>
    </w:lvl>
    <w:lvl w:ilvl="8" w:tplc="0409001B" w:tentative="1">
      <w:start w:val="1"/>
      <w:numFmt w:val="lowerRoman"/>
      <w:lvlText w:val="%9."/>
      <w:lvlJc w:val="right"/>
      <w:pPr>
        <w:ind w:left="3782" w:hanging="420"/>
      </w:pPr>
    </w:lvl>
  </w:abstractNum>
  <w:abstractNum w:abstractNumId="3" w15:restartNumberingAfterBreak="0">
    <w:nsid w:val="42296B71"/>
    <w:multiLevelType w:val="hybridMultilevel"/>
    <w:tmpl w:val="AFC21DA2"/>
    <w:lvl w:ilvl="0" w:tplc="F792423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45B74945"/>
    <w:multiLevelType w:val="hybridMultilevel"/>
    <w:tmpl w:val="4BA2DA1E"/>
    <w:lvl w:ilvl="0" w:tplc="0DA83F24">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67753029"/>
    <w:multiLevelType w:val="hybridMultilevel"/>
    <w:tmpl w:val="DF86D64C"/>
    <w:lvl w:ilvl="0" w:tplc="7564EA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68DF08F4"/>
    <w:multiLevelType w:val="multilevel"/>
    <w:tmpl w:val="68DF08F4"/>
    <w:lvl w:ilvl="0">
      <w:start w:val="1"/>
      <w:numFmt w:val="decimal"/>
      <w:pStyle w:val="1"/>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7B344B7B"/>
    <w:multiLevelType w:val="hybridMultilevel"/>
    <w:tmpl w:val="43347AC2"/>
    <w:lvl w:ilvl="0" w:tplc="61A67A7C">
      <w:start w:val="1"/>
      <w:numFmt w:val="japaneseCounting"/>
      <w:lvlText w:val="第%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633828817">
    <w:abstractNumId w:val="6"/>
  </w:num>
  <w:num w:numId="2" w16cid:durableId="1936791299">
    <w:abstractNumId w:val="6"/>
  </w:num>
  <w:num w:numId="3" w16cid:durableId="546182177">
    <w:abstractNumId w:val="6"/>
  </w:num>
  <w:num w:numId="4" w16cid:durableId="445393001">
    <w:abstractNumId w:val="2"/>
  </w:num>
  <w:num w:numId="5" w16cid:durableId="2099019161">
    <w:abstractNumId w:val="0"/>
  </w:num>
  <w:num w:numId="6" w16cid:durableId="871918954">
    <w:abstractNumId w:val="1"/>
  </w:num>
  <w:num w:numId="7" w16cid:durableId="1513493828">
    <w:abstractNumId w:val="5"/>
  </w:num>
  <w:num w:numId="8" w16cid:durableId="24059197">
    <w:abstractNumId w:val="3"/>
  </w:num>
  <w:num w:numId="9" w16cid:durableId="1977104898">
    <w:abstractNumId w:val="7"/>
  </w:num>
  <w:num w:numId="10" w16cid:durableId="2811516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13C"/>
    <w:rsid w:val="000459EC"/>
    <w:rsid w:val="000677D1"/>
    <w:rsid w:val="00210F73"/>
    <w:rsid w:val="00217D8A"/>
    <w:rsid w:val="00271FF0"/>
    <w:rsid w:val="0027213C"/>
    <w:rsid w:val="003A0922"/>
    <w:rsid w:val="003F6B09"/>
    <w:rsid w:val="00525F44"/>
    <w:rsid w:val="00580028"/>
    <w:rsid w:val="006764B6"/>
    <w:rsid w:val="00695CAB"/>
    <w:rsid w:val="007D179F"/>
    <w:rsid w:val="008A6ABB"/>
    <w:rsid w:val="008B5BA0"/>
    <w:rsid w:val="008F36D2"/>
    <w:rsid w:val="009224D4"/>
    <w:rsid w:val="00A00F92"/>
    <w:rsid w:val="00A35A71"/>
    <w:rsid w:val="00BB5F30"/>
    <w:rsid w:val="00C92425"/>
    <w:rsid w:val="00CC31F2"/>
    <w:rsid w:val="00D85CE9"/>
    <w:rsid w:val="00E9463B"/>
    <w:rsid w:val="00EA70EC"/>
    <w:rsid w:val="00EC62BE"/>
    <w:rsid w:val="00F144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67B17"/>
  <w15:chartTrackingRefBased/>
  <w15:docId w15:val="{681E9735-0130-43DA-9C3D-5395B8DBB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Arial"/>
        <w:kern w:val="2"/>
        <w:lang w:val="en-US" w:eastAsia="zh-CN" w:bidi="ar-SA"/>
      </w:rPr>
    </w:rPrDefault>
    <w:pPrDefault>
      <w:pPr>
        <w:spacing w:beforeLines="50" w:afterLines="50"/>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CAB"/>
    <w:pPr>
      <w:widowControl w:val="0"/>
      <w:spacing w:beforeLines="0" w:afterLines="0"/>
      <w:jc w:val="both"/>
    </w:pPr>
    <w:rPr>
      <w:rFonts w:cs="Times New Roman"/>
      <w:sz w:val="21"/>
      <w:szCs w:val="22"/>
    </w:rPr>
  </w:style>
  <w:style w:type="paragraph" w:styleId="1">
    <w:name w:val="heading 1"/>
    <w:basedOn w:val="a"/>
    <w:next w:val="a"/>
    <w:link w:val="11"/>
    <w:uiPriority w:val="99"/>
    <w:qFormat/>
    <w:rsid w:val="00271FF0"/>
    <w:pPr>
      <w:keepNext/>
      <w:keepLines/>
      <w:numPr>
        <w:numId w:val="3"/>
      </w:numPr>
      <w:spacing w:line="480" w:lineRule="auto"/>
      <w:outlineLvl w:val="0"/>
    </w:pPr>
    <w:rPr>
      <w:b/>
      <w:bCs/>
      <w:kern w:val="44"/>
      <w:sz w:val="28"/>
      <w:szCs w:val="44"/>
    </w:rPr>
  </w:style>
  <w:style w:type="paragraph" w:styleId="2">
    <w:name w:val="heading 2"/>
    <w:basedOn w:val="a"/>
    <w:next w:val="a"/>
    <w:link w:val="21"/>
    <w:uiPriority w:val="99"/>
    <w:unhideWhenUsed/>
    <w:qFormat/>
    <w:rsid w:val="00271FF0"/>
    <w:pPr>
      <w:keepNext/>
      <w:keepLines/>
      <w:spacing w:line="480" w:lineRule="auto"/>
      <w:outlineLvl w:val="1"/>
    </w:pPr>
    <w:rPr>
      <w:rFonts w:cstheme="majorBidi"/>
      <w:b/>
      <w:bCs/>
      <w:szCs w:val="32"/>
    </w:rPr>
  </w:style>
  <w:style w:type="paragraph" w:styleId="3">
    <w:name w:val="heading 3"/>
    <w:aliases w:val="二级标题"/>
    <w:basedOn w:val="a"/>
    <w:next w:val="a"/>
    <w:link w:val="30"/>
    <w:uiPriority w:val="9"/>
    <w:semiHidden/>
    <w:unhideWhenUsed/>
    <w:qFormat/>
    <w:rsid w:val="00271FF0"/>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三线表"/>
    <w:basedOn w:val="a1"/>
    <w:uiPriority w:val="99"/>
    <w:rsid w:val="00A35A71"/>
    <w:rPr>
      <w:rFonts w:ascii="Times New Roman" w:eastAsia="Times New Roman" w:hAnsi="Times New Roman" w:cs="Times New Roman"/>
      <w:kern w:val="0"/>
      <w:sz w:val="15"/>
    </w:rPr>
    <w:tblPr>
      <w:tblBorders>
        <w:top w:val="single" w:sz="4" w:space="0" w:color="auto"/>
        <w:bottom w:val="single" w:sz="4" w:space="0" w:color="auto"/>
      </w:tblBorders>
    </w:tblPr>
    <w:tcPr>
      <w:vAlign w:val="center"/>
    </w:tcPr>
  </w:style>
  <w:style w:type="character" w:customStyle="1" w:styleId="30">
    <w:name w:val="标题 3 字符"/>
    <w:aliases w:val="二级标题 字符"/>
    <w:link w:val="3"/>
    <w:uiPriority w:val="9"/>
    <w:semiHidden/>
    <w:rsid w:val="00271FF0"/>
    <w:rPr>
      <w:rFonts w:ascii="Times New Roman" w:eastAsia="宋体" w:hAnsi="Times New Roman" w:cs="Times New Roman (正文 CS 字体)"/>
      <w:b/>
      <w:bCs/>
      <w:kern w:val="0"/>
      <w:sz w:val="32"/>
      <w:szCs w:val="32"/>
      <w:lang w:eastAsia="en-US"/>
    </w:rPr>
  </w:style>
  <w:style w:type="paragraph" w:customStyle="1" w:styleId="a4">
    <w:name w:val="一级标题"/>
    <w:basedOn w:val="a"/>
    <w:qFormat/>
    <w:rsid w:val="00580028"/>
  </w:style>
  <w:style w:type="character" w:customStyle="1" w:styleId="10">
    <w:name w:val="标题 1 字符"/>
    <w:basedOn w:val="a0"/>
    <w:uiPriority w:val="99"/>
    <w:rsid w:val="00D85CE9"/>
    <w:rPr>
      <w:rFonts w:ascii="Times New Roman" w:hAnsi="Times New Roman" w:cs="Times New Roman (正文 CS 字体)"/>
      <w:b/>
      <w:bCs/>
      <w:kern w:val="44"/>
      <w:szCs w:val="44"/>
    </w:rPr>
  </w:style>
  <w:style w:type="character" w:customStyle="1" w:styleId="20">
    <w:name w:val="标题 2 字符"/>
    <w:basedOn w:val="a0"/>
    <w:uiPriority w:val="99"/>
    <w:rsid w:val="003A0922"/>
    <w:rPr>
      <w:rFonts w:ascii="Times New Roman" w:eastAsiaTheme="majorEastAsia" w:hAnsi="Times New Roman" w:cstheme="majorBidi"/>
      <w:bCs/>
      <w:i/>
      <w:szCs w:val="32"/>
    </w:rPr>
  </w:style>
  <w:style w:type="paragraph" w:customStyle="1" w:styleId="0-1-ENG">
    <w:name w:val="0-1-ENG"/>
    <w:basedOn w:val="1"/>
    <w:qFormat/>
    <w:rsid w:val="00210F73"/>
    <w:pPr>
      <w:numPr>
        <w:numId w:val="0"/>
      </w:numPr>
      <w:snapToGrid w:val="0"/>
      <w:spacing w:before="50" w:after="50" w:line="240" w:lineRule="auto"/>
      <w:contextualSpacing/>
    </w:pPr>
    <w:rPr>
      <w:rFonts w:ascii="Times New Roman" w:eastAsia="等线" w:hAnsi="Times New Roman"/>
      <w:sz w:val="21"/>
      <w:szCs w:val="28"/>
    </w:rPr>
  </w:style>
  <w:style w:type="paragraph" w:customStyle="1" w:styleId="1-11-ENG">
    <w:name w:val="1-1.1-ENG"/>
    <w:basedOn w:val="a"/>
    <w:link w:val="1-11-ENG0"/>
    <w:qFormat/>
    <w:rsid w:val="00210F73"/>
    <w:pPr>
      <w:snapToGrid w:val="0"/>
      <w:spacing w:before="50" w:after="50"/>
      <w:contextualSpacing/>
    </w:pPr>
    <w:rPr>
      <w:rFonts w:ascii="Times New Roman" w:eastAsia="等线" w:hAnsi="Times New Roman"/>
      <w:bCs/>
      <w:i/>
      <w:szCs w:val="28"/>
    </w:rPr>
  </w:style>
  <w:style w:type="character" w:customStyle="1" w:styleId="1-11-ENG0">
    <w:name w:val="1-1.1-ENG 字符"/>
    <w:link w:val="1-11-ENG"/>
    <w:rsid w:val="00210F73"/>
    <w:rPr>
      <w:rFonts w:ascii="Times New Roman" w:eastAsia="等线" w:hAnsi="Times New Roman" w:cs="Times New Roman"/>
      <w:bCs/>
      <w:i/>
      <w:sz w:val="21"/>
      <w:szCs w:val="28"/>
    </w:rPr>
  </w:style>
  <w:style w:type="paragraph" w:customStyle="1" w:styleId="2-111-ENG">
    <w:name w:val="2-1.1.1-ENG"/>
    <w:basedOn w:val="a"/>
    <w:link w:val="2-111-ENG0"/>
    <w:qFormat/>
    <w:rsid w:val="00210F73"/>
    <w:pPr>
      <w:snapToGrid w:val="0"/>
      <w:spacing w:before="50"/>
      <w:contextualSpacing/>
    </w:pPr>
    <w:rPr>
      <w:rFonts w:ascii="Times New Roman" w:eastAsia="等线" w:hAnsi="Times New Roman"/>
      <w:bCs/>
      <w:i/>
      <w:szCs w:val="28"/>
    </w:rPr>
  </w:style>
  <w:style w:type="character" w:customStyle="1" w:styleId="2-111-ENG0">
    <w:name w:val="2-1.1.1-ENG 字符"/>
    <w:link w:val="2-111-ENG"/>
    <w:rsid w:val="00210F73"/>
    <w:rPr>
      <w:rFonts w:ascii="Times New Roman" w:eastAsia="等线" w:hAnsi="Times New Roman" w:cs="Times New Roman"/>
      <w:bCs/>
      <w:i/>
      <w:sz w:val="21"/>
      <w:szCs w:val="28"/>
    </w:rPr>
  </w:style>
  <w:style w:type="paragraph" w:customStyle="1" w:styleId="3-mainbody-ENG">
    <w:name w:val="3-mainbody-ENG"/>
    <w:basedOn w:val="a"/>
    <w:link w:val="3-mainbody-ENG0"/>
    <w:qFormat/>
    <w:rsid w:val="00210F73"/>
    <w:pPr>
      <w:snapToGrid w:val="0"/>
      <w:ind w:firstLineChars="100" w:firstLine="100"/>
      <w:contextualSpacing/>
    </w:pPr>
    <w:rPr>
      <w:rFonts w:ascii="Times New Roman" w:eastAsia="等线" w:hAnsi="Times New Roman"/>
      <w:szCs w:val="28"/>
    </w:rPr>
  </w:style>
  <w:style w:type="character" w:customStyle="1" w:styleId="3-mainbody-ENG0">
    <w:name w:val="3-mainbody-ENG 字符"/>
    <w:link w:val="3-mainbody-ENG"/>
    <w:rsid w:val="00210F73"/>
    <w:rPr>
      <w:rFonts w:ascii="Times New Roman" w:eastAsia="等线" w:hAnsi="Times New Roman" w:cs="Times New Roman"/>
      <w:sz w:val="21"/>
      <w:szCs w:val="28"/>
    </w:rPr>
  </w:style>
  <w:style w:type="paragraph" w:customStyle="1" w:styleId="4-Fig-ENG">
    <w:name w:val="4-Fig-ENG"/>
    <w:basedOn w:val="a"/>
    <w:link w:val="4-Fig-ENG0"/>
    <w:qFormat/>
    <w:rsid w:val="00210F73"/>
    <w:pPr>
      <w:snapToGrid w:val="0"/>
      <w:contextualSpacing/>
    </w:pPr>
    <w:rPr>
      <w:rFonts w:ascii="Times New Roman" w:eastAsia="等线" w:hAnsi="Times New Roman"/>
      <w:sz w:val="18"/>
    </w:rPr>
  </w:style>
  <w:style w:type="character" w:customStyle="1" w:styleId="4-Fig-ENG0">
    <w:name w:val="4-Fig-ENG 字符"/>
    <w:link w:val="4-Fig-ENG"/>
    <w:rsid w:val="00210F73"/>
    <w:rPr>
      <w:rFonts w:ascii="Times New Roman" w:eastAsia="等线" w:hAnsi="Times New Roman" w:cs="Times New Roman"/>
      <w:sz w:val="18"/>
      <w:szCs w:val="22"/>
    </w:rPr>
  </w:style>
  <w:style w:type="paragraph" w:customStyle="1" w:styleId="4-Tabbody-ENG">
    <w:name w:val="4-Tabbody-ENG"/>
    <w:basedOn w:val="4-Fig-ENG"/>
    <w:qFormat/>
    <w:rsid w:val="00210F73"/>
    <w:pPr>
      <w:adjustRightInd w:val="0"/>
      <w:jc w:val="left"/>
    </w:pPr>
    <w:rPr>
      <w:sz w:val="15"/>
    </w:rPr>
  </w:style>
  <w:style w:type="paragraph" w:customStyle="1" w:styleId="5-Ref-ENG">
    <w:name w:val="5-Ref-ENG"/>
    <w:basedOn w:val="a"/>
    <w:link w:val="5-Ref-ENG0"/>
    <w:qFormat/>
    <w:rsid w:val="00210F73"/>
    <w:pPr>
      <w:snapToGrid w:val="0"/>
      <w:contextualSpacing/>
    </w:pPr>
    <w:rPr>
      <w:rFonts w:ascii="Times New Roman" w:eastAsia="等线" w:hAnsi="Times New Roman"/>
      <w:sz w:val="17"/>
    </w:rPr>
  </w:style>
  <w:style w:type="character" w:customStyle="1" w:styleId="5-Ref-ENG0">
    <w:name w:val="5-Ref-ENG 字符"/>
    <w:link w:val="5-Ref-ENG"/>
    <w:rsid w:val="00210F73"/>
    <w:rPr>
      <w:rFonts w:ascii="Times New Roman" w:eastAsia="等线" w:hAnsi="Times New Roman" w:cs="Times New Roman"/>
      <w:sz w:val="17"/>
      <w:szCs w:val="22"/>
    </w:rPr>
  </w:style>
  <w:style w:type="paragraph" w:customStyle="1" w:styleId="6-Author-ENG">
    <w:name w:val="6-Author-ENG"/>
    <w:basedOn w:val="a"/>
    <w:qFormat/>
    <w:rsid w:val="00210F73"/>
    <w:pPr>
      <w:autoSpaceDE w:val="0"/>
      <w:autoSpaceDN w:val="0"/>
      <w:adjustRightInd w:val="0"/>
      <w:snapToGrid w:val="0"/>
    </w:pPr>
    <w:rPr>
      <w:rFonts w:ascii="Times New Roman" w:hAnsi="Times New Roman"/>
      <w:kern w:val="0"/>
      <w:sz w:val="24"/>
      <w:szCs w:val="24"/>
      <w:lang w:eastAsia="en-US"/>
    </w:rPr>
  </w:style>
  <w:style w:type="paragraph" w:customStyle="1" w:styleId="6-Corre-ENG">
    <w:name w:val="6-Corre-ENG"/>
    <w:basedOn w:val="3-mainbody-ENG"/>
    <w:qFormat/>
    <w:rsid w:val="00210F73"/>
    <w:pPr>
      <w:adjustRightInd w:val="0"/>
      <w:ind w:firstLineChars="0" w:firstLine="0"/>
      <w:jc w:val="left"/>
    </w:pPr>
    <w:rPr>
      <w:sz w:val="18"/>
    </w:rPr>
  </w:style>
  <w:style w:type="paragraph" w:customStyle="1" w:styleId="7-Affili-ENG">
    <w:name w:val="7-Affili-ENG"/>
    <w:basedOn w:val="a"/>
    <w:qFormat/>
    <w:rsid w:val="00210F73"/>
    <w:pPr>
      <w:autoSpaceDE w:val="0"/>
      <w:autoSpaceDN w:val="0"/>
      <w:adjustRightInd w:val="0"/>
      <w:snapToGrid w:val="0"/>
    </w:pPr>
    <w:rPr>
      <w:rFonts w:ascii="Times New Roman" w:hAnsi="Times New Roman"/>
      <w:i/>
      <w:kern w:val="0"/>
      <w:sz w:val="18"/>
      <w:szCs w:val="24"/>
      <w:lang w:eastAsia="en-US"/>
    </w:rPr>
  </w:style>
  <w:style w:type="paragraph" w:customStyle="1" w:styleId="8-Title-ENG">
    <w:name w:val="8-Title-ENG"/>
    <w:basedOn w:val="0-1-ENG"/>
    <w:qFormat/>
    <w:rsid w:val="00210F73"/>
    <w:pPr>
      <w:spacing w:before="0" w:after="0"/>
    </w:pPr>
    <w:rPr>
      <w:sz w:val="30"/>
      <w:szCs w:val="30"/>
    </w:rPr>
  </w:style>
  <w:style w:type="paragraph" w:customStyle="1" w:styleId="9-Abstract">
    <w:name w:val="9-Abstract"/>
    <w:basedOn w:val="a"/>
    <w:qFormat/>
    <w:rsid w:val="00210F73"/>
    <w:pPr>
      <w:autoSpaceDE w:val="0"/>
      <w:autoSpaceDN w:val="0"/>
      <w:adjustRightInd w:val="0"/>
      <w:snapToGrid w:val="0"/>
    </w:pPr>
    <w:rPr>
      <w:rFonts w:ascii="Times New Roman" w:eastAsia="等线" w:hAnsi="Times New Roman"/>
      <w:kern w:val="0"/>
      <w:sz w:val="18"/>
      <w:szCs w:val="18"/>
      <w:lang w:eastAsia="en-US"/>
    </w:rPr>
  </w:style>
  <w:style w:type="paragraph" w:customStyle="1" w:styleId="EndNoteBibliographyTitle">
    <w:name w:val="EndNote Bibliography Title"/>
    <w:basedOn w:val="a"/>
    <w:link w:val="EndNoteBibliographyTitle0"/>
    <w:qFormat/>
    <w:rsid w:val="00271FF0"/>
    <w:pPr>
      <w:jc w:val="center"/>
    </w:pPr>
    <w:rPr>
      <w:rFonts w:cs="Calibri"/>
    </w:rPr>
  </w:style>
  <w:style w:type="character" w:customStyle="1" w:styleId="EndNoteBibliographyTitle0">
    <w:name w:val="EndNote Bibliography Title 字符"/>
    <w:link w:val="EndNoteBibliographyTitle"/>
    <w:qFormat/>
    <w:rsid w:val="00271FF0"/>
    <w:rPr>
      <w:rFonts w:ascii="Calibri" w:eastAsia="宋体" w:hAnsi="Calibri" w:cs="Calibri"/>
      <w:kern w:val="0"/>
      <w:sz w:val="20"/>
      <w:szCs w:val="24"/>
      <w:lang w:eastAsia="en-US"/>
    </w:rPr>
  </w:style>
  <w:style w:type="paragraph" w:customStyle="1" w:styleId="EndNoteBibliography">
    <w:name w:val="EndNote Bibliography"/>
    <w:basedOn w:val="a"/>
    <w:link w:val="EndNoteBibliography0"/>
    <w:rsid w:val="00271FF0"/>
    <w:rPr>
      <w:rFonts w:cs="Calibri"/>
    </w:rPr>
  </w:style>
  <w:style w:type="character" w:customStyle="1" w:styleId="EndNoteBibliography0">
    <w:name w:val="EndNote Bibliography 字符"/>
    <w:link w:val="EndNoteBibliography"/>
    <w:qFormat/>
    <w:rsid w:val="00271FF0"/>
    <w:rPr>
      <w:rFonts w:ascii="Calibri" w:eastAsia="宋体" w:hAnsi="Calibri" w:cs="Calibri"/>
      <w:kern w:val="0"/>
      <w:sz w:val="20"/>
      <w:szCs w:val="24"/>
      <w:lang w:eastAsia="en-US"/>
    </w:rPr>
  </w:style>
  <w:style w:type="paragraph" w:customStyle="1" w:styleId="TOC1">
    <w:name w:val="TOC 标题1"/>
    <w:basedOn w:val="1"/>
    <w:next w:val="a"/>
    <w:uiPriority w:val="39"/>
    <w:unhideWhenUsed/>
    <w:qFormat/>
    <w:rsid w:val="00271FF0"/>
    <w:pPr>
      <w:spacing w:before="240" w:line="259" w:lineRule="auto"/>
      <w:outlineLvl w:val="9"/>
    </w:pPr>
    <w:rPr>
      <w:rFonts w:ascii="Cambria" w:hAnsi="Cambria"/>
      <w:b w:val="0"/>
      <w:bCs w:val="0"/>
      <w:color w:val="365F91"/>
      <w:kern w:val="0"/>
      <w:sz w:val="32"/>
      <w:szCs w:val="32"/>
    </w:rPr>
  </w:style>
  <w:style w:type="character" w:customStyle="1" w:styleId="12">
    <w:name w:val="未处理的提及1"/>
    <w:uiPriority w:val="99"/>
    <w:unhideWhenUsed/>
    <w:qFormat/>
    <w:rsid w:val="00271FF0"/>
    <w:rPr>
      <w:color w:val="605E5C"/>
      <w:shd w:val="clear" w:color="auto" w:fill="E1DFDD"/>
    </w:rPr>
  </w:style>
  <w:style w:type="character" w:customStyle="1" w:styleId="aubase">
    <w:name w:val="au_base"/>
    <w:rsid w:val="00271FF0"/>
    <w:rPr>
      <w:sz w:val="21"/>
    </w:rPr>
  </w:style>
  <w:style w:type="character" w:customStyle="1" w:styleId="aucollab">
    <w:name w:val="au_collab"/>
    <w:rsid w:val="00271FF0"/>
    <w:rPr>
      <w:sz w:val="21"/>
      <w:bdr w:val="none" w:sz="0" w:space="0" w:color="auto"/>
      <w:shd w:val="clear" w:color="auto" w:fill="C0C0C0"/>
    </w:rPr>
  </w:style>
  <w:style w:type="character" w:customStyle="1" w:styleId="audeg">
    <w:name w:val="au_deg"/>
    <w:rsid w:val="00271FF0"/>
    <w:rPr>
      <w:sz w:val="21"/>
      <w:bdr w:val="none" w:sz="0" w:space="0" w:color="auto"/>
      <w:shd w:val="clear" w:color="auto" w:fill="FFFF00"/>
    </w:rPr>
  </w:style>
  <w:style w:type="character" w:customStyle="1" w:styleId="aufname">
    <w:name w:val="au_fname"/>
    <w:rsid w:val="00271FF0"/>
    <w:rPr>
      <w:sz w:val="21"/>
      <w:bdr w:val="none" w:sz="0" w:space="0" w:color="auto"/>
      <w:shd w:val="clear" w:color="auto" w:fill="FFFFCC"/>
    </w:rPr>
  </w:style>
  <w:style w:type="character" w:customStyle="1" w:styleId="aurole">
    <w:name w:val="au_role"/>
    <w:rsid w:val="00271FF0"/>
    <w:rPr>
      <w:sz w:val="21"/>
      <w:bdr w:val="none" w:sz="0" w:space="0" w:color="auto"/>
      <w:shd w:val="clear" w:color="auto" w:fill="808000"/>
    </w:rPr>
  </w:style>
  <w:style w:type="character" w:customStyle="1" w:styleId="ausuffix">
    <w:name w:val="au_suffix"/>
    <w:rsid w:val="00271FF0"/>
    <w:rPr>
      <w:sz w:val="21"/>
      <w:bdr w:val="none" w:sz="0" w:space="0" w:color="auto"/>
      <w:shd w:val="clear" w:color="auto" w:fill="FF00FF"/>
    </w:rPr>
  </w:style>
  <w:style w:type="character" w:customStyle="1" w:styleId="ausurname">
    <w:name w:val="au_surname"/>
    <w:rsid w:val="00271FF0"/>
    <w:rPr>
      <w:sz w:val="21"/>
      <w:bdr w:val="none" w:sz="0" w:space="0" w:color="auto"/>
      <w:shd w:val="clear" w:color="auto" w:fill="CCFF99"/>
    </w:rPr>
  </w:style>
  <w:style w:type="character" w:customStyle="1" w:styleId="citebase">
    <w:name w:val="cite_base"/>
    <w:rsid w:val="00271FF0"/>
    <w:rPr>
      <w:sz w:val="21"/>
    </w:rPr>
  </w:style>
  <w:style w:type="character" w:customStyle="1" w:styleId="citebib">
    <w:name w:val="cite_bib"/>
    <w:rsid w:val="00271FF0"/>
    <w:rPr>
      <w:sz w:val="21"/>
      <w:bdr w:val="none" w:sz="0" w:space="0" w:color="auto"/>
      <w:shd w:val="clear" w:color="auto" w:fill="CCFFFF"/>
    </w:rPr>
  </w:style>
  <w:style w:type="character" w:customStyle="1" w:styleId="citebox">
    <w:name w:val="cite_box"/>
    <w:rsid w:val="00271FF0"/>
  </w:style>
  <w:style w:type="character" w:customStyle="1" w:styleId="citeapp">
    <w:name w:val="cite_app"/>
    <w:rsid w:val="00271FF0"/>
    <w:rPr>
      <w:sz w:val="24"/>
      <w:bdr w:val="none" w:sz="0" w:space="0" w:color="auto"/>
      <w:shd w:val="clear" w:color="auto" w:fill="CCFF33"/>
    </w:rPr>
  </w:style>
  <w:style w:type="character" w:customStyle="1" w:styleId="citeeq">
    <w:name w:val="cite_eq"/>
    <w:rsid w:val="00271FF0"/>
    <w:rPr>
      <w:sz w:val="21"/>
      <w:bdr w:val="none" w:sz="0" w:space="0" w:color="auto"/>
      <w:shd w:val="clear" w:color="auto" w:fill="FF99CC"/>
    </w:rPr>
  </w:style>
  <w:style w:type="character" w:customStyle="1" w:styleId="citefig">
    <w:name w:val="cite_fig"/>
    <w:rsid w:val="00271FF0"/>
    <w:rPr>
      <w:color w:val="auto"/>
      <w:sz w:val="21"/>
      <w:bdr w:val="none" w:sz="0" w:space="0" w:color="auto"/>
      <w:shd w:val="clear" w:color="auto" w:fill="CCFFCC"/>
    </w:rPr>
  </w:style>
  <w:style w:type="character" w:customStyle="1" w:styleId="citefn">
    <w:name w:val="cite_fn"/>
    <w:rsid w:val="00271FF0"/>
    <w:rPr>
      <w:sz w:val="21"/>
      <w:bdr w:val="none" w:sz="0" w:space="0" w:color="auto"/>
      <w:shd w:val="clear" w:color="auto" w:fill="CC99FF"/>
    </w:rPr>
  </w:style>
  <w:style w:type="character" w:customStyle="1" w:styleId="citetbl">
    <w:name w:val="cite_tbl"/>
    <w:rsid w:val="00271FF0"/>
    <w:rPr>
      <w:color w:val="auto"/>
      <w:sz w:val="21"/>
      <w:bdr w:val="none" w:sz="0" w:space="0" w:color="auto"/>
      <w:shd w:val="clear" w:color="auto" w:fill="FF9999"/>
    </w:rPr>
  </w:style>
  <w:style w:type="character" w:customStyle="1" w:styleId="citetfn">
    <w:name w:val="cite_tfn"/>
    <w:rsid w:val="00271FF0"/>
    <w:rPr>
      <w:sz w:val="24"/>
      <w:bdr w:val="none" w:sz="0" w:space="0" w:color="auto"/>
      <w:shd w:val="clear" w:color="auto" w:fill="FBBA79"/>
    </w:rPr>
  </w:style>
  <w:style w:type="character" w:customStyle="1" w:styleId="bibbase">
    <w:name w:val="bib_base"/>
    <w:rsid w:val="00271FF0"/>
    <w:rPr>
      <w:sz w:val="21"/>
    </w:rPr>
  </w:style>
  <w:style w:type="character" w:customStyle="1" w:styleId="bibarticle">
    <w:name w:val="bib_article"/>
    <w:rsid w:val="00271FF0"/>
    <w:rPr>
      <w:sz w:val="21"/>
      <w:bdr w:val="none" w:sz="0" w:space="0" w:color="auto"/>
      <w:shd w:val="clear" w:color="auto" w:fill="CCFFFF"/>
    </w:rPr>
  </w:style>
  <w:style w:type="character" w:customStyle="1" w:styleId="bibcomment">
    <w:name w:val="bib_comment"/>
    <w:rsid w:val="00271FF0"/>
  </w:style>
  <w:style w:type="character" w:customStyle="1" w:styleId="bibdeg">
    <w:name w:val="bib_deg"/>
    <w:rsid w:val="00271FF0"/>
  </w:style>
  <w:style w:type="character" w:customStyle="1" w:styleId="bibdoi">
    <w:name w:val="bib_doi"/>
    <w:rsid w:val="00271FF0"/>
    <w:rPr>
      <w:sz w:val="21"/>
      <w:bdr w:val="none" w:sz="0" w:space="0" w:color="auto"/>
      <w:shd w:val="clear" w:color="auto" w:fill="CCFFCC"/>
    </w:rPr>
  </w:style>
  <w:style w:type="character" w:customStyle="1" w:styleId="bibetal">
    <w:name w:val="bib_etal"/>
    <w:rsid w:val="00271FF0"/>
    <w:rPr>
      <w:sz w:val="21"/>
      <w:bdr w:val="none" w:sz="0" w:space="0" w:color="auto"/>
      <w:shd w:val="clear" w:color="auto" w:fill="C9A6F8"/>
    </w:rPr>
  </w:style>
  <w:style w:type="character" w:customStyle="1" w:styleId="bibfname">
    <w:name w:val="bib_fname"/>
    <w:rsid w:val="00271FF0"/>
    <w:rPr>
      <w:sz w:val="21"/>
      <w:bdr w:val="none" w:sz="0" w:space="0" w:color="auto"/>
      <w:shd w:val="clear" w:color="auto" w:fill="FFFFCC"/>
    </w:rPr>
  </w:style>
  <w:style w:type="character" w:customStyle="1" w:styleId="bibfpage">
    <w:name w:val="bib_fpage"/>
    <w:rsid w:val="00271FF0"/>
    <w:rPr>
      <w:sz w:val="21"/>
      <w:bdr w:val="none" w:sz="0" w:space="0" w:color="auto"/>
      <w:shd w:val="clear" w:color="auto" w:fill="E6E6E6"/>
    </w:rPr>
  </w:style>
  <w:style w:type="character" w:customStyle="1" w:styleId="bibissue">
    <w:name w:val="bib_issue"/>
    <w:rsid w:val="00271FF0"/>
    <w:rPr>
      <w:sz w:val="21"/>
      <w:bdr w:val="none" w:sz="0" w:space="0" w:color="auto"/>
      <w:shd w:val="clear" w:color="auto" w:fill="FFFFAB"/>
    </w:rPr>
  </w:style>
  <w:style w:type="character" w:customStyle="1" w:styleId="bibjournal">
    <w:name w:val="bib_journal"/>
    <w:rsid w:val="00271FF0"/>
    <w:rPr>
      <w:sz w:val="21"/>
      <w:bdr w:val="none" w:sz="0" w:space="0" w:color="auto"/>
      <w:shd w:val="clear" w:color="auto" w:fill="F9DECF"/>
    </w:rPr>
  </w:style>
  <w:style w:type="character" w:customStyle="1" w:styleId="biblpage">
    <w:name w:val="bib_lpage"/>
    <w:rsid w:val="00271FF0"/>
    <w:rPr>
      <w:sz w:val="21"/>
      <w:bdr w:val="none" w:sz="0" w:space="0" w:color="auto"/>
      <w:shd w:val="clear" w:color="auto" w:fill="D9D9D9"/>
    </w:rPr>
  </w:style>
  <w:style w:type="character" w:customStyle="1" w:styleId="bibmedline">
    <w:name w:val="bib_medline"/>
    <w:rsid w:val="00271FF0"/>
  </w:style>
  <w:style w:type="character" w:customStyle="1" w:styleId="bibnumber">
    <w:name w:val="bib_number"/>
    <w:rsid w:val="00271FF0"/>
    <w:rPr>
      <w:sz w:val="21"/>
      <w:bdr w:val="none" w:sz="0" w:space="0" w:color="auto"/>
      <w:shd w:val="clear" w:color="auto" w:fill="CCCCFF"/>
    </w:rPr>
  </w:style>
  <w:style w:type="character" w:customStyle="1" w:styleId="biborganization">
    <w:name w:val="bib_organization"/>
    <w:rsid w:val="00271FF0"/>
    <w:rPr>
      <w:sz w:val="21"/>
      <w:bdr w:val="none" w:sz="0" w:space="0" w:color="auto"/>
      <w:shd w:val="clear" w:color="auto" w:fill="A884AE"/>
    </w:rPr>
  </w:style>
  <w:style w:type="character" w:customStyle="1" w:styleId="bibsuffix">
    <w:name w:val="bib_suffix"/>
    <w:rsid w:val="00271FF0"/>
  </w:style>
  <w:style w:type="character" w:customStyle="1" w:styleId="bibsuppl">
    <w:name w:val="bib_suppl"/>
    <w:rsid w:val="00271FF0"/>
    <w:rPr>
      <w:sz w:val="21"/>
      <w:bdr w:val="none" w:sz="0" w:space="0" w:color="auto"/>
      <w:shd w:val="clear" w:color="auto" w:fill="FFCC66"/>
    </w:rPr>
  </w:style>
  <w:style w:type="character" w:customStyle="1" w:styleId="bibsurname">
    <w:name w:val="bib_surname"/>
    <w:rsid w:val="00271FF0"/>
    <w:rPr>
      <w:sz w:val="21"/>
      <w:bdr w:val="none" w:sz="0" w:space="0" w:color="auto"/>
      <w:shd w:val="clear" w:color="auto" w:fill="CCFF99"/>
    </w:rPr>
  </w:style>
  <w:style w:type="character" w:customStyle="1" w:styleId="bibunpubl">
    <w:name w:val="bib_unpubl"/>
    <w:rsid w:val="00271FF0"/>
  </w:style>
  <w:style w:type="character" w:customStyle="1" w:styleId="biburl">
    <w:name w:val="bib_url"/>
    <w:rsid w:val="00271FF0"/>
    <w:rPr>
      <w:sz w:val="21"/>
      <w:bdr w:val="none" w:sz="0" w:space="0" w:color="auto"/>
      <w:shd w:val="clear" w:color="auto" w:fill="CCFF66"/>
    </w:rPr>
  </w:style>
  <w:style w:type="character" w:customStyle="1" w:styleId="bibvolume">
    <w:name w:val="bib_volume"/>
    <w:rsid w:val="00271FF0"/>
    <w:rPr>
      <w:sz w:val="21"/>
      <w:bdr w:val="none" w:sz="0" w:space="0" w:color="auto"/>
      <w:shd w:val="clear" w:color="auto" w:fill="CCECFF"/>
    </w:rPr>
  </w:style>
  <w:style w:type="character" w:customStyle="1" w:styleId="bibyear">
    <w:name w:val="bib_year"/>
    <w:rsid w:val="00271FF0"/>
    <w:rPr>
      <w:sz w:val="21"/>
      <w:bdr w:val="none" w:sz="0" w:space="0" w:color="auto"/>
      <w:shd w:val="clear" w:color="auto" w:fill="FFCCFF"/>
    </w:rPr>
  </w:style>
  <w:style w:type="paragraph" w:customStyle="1" w:styleId="BaseHeading">
    <w:name w:val="Base_Heading"/>
    <w:link w:val="BaseHeadingChar"/>
    <w:rsid w:val="00271FF0"/>
    <w:pPr>
      <w:keepNext/>
      <w:spacing w:beforeLines="0" w:before="240" w:afterLines="0"/>
      <w:outlineLvl w:val="0"/>
    </w:pPr>
    <w:rPr>
      <w:rFonts w:ascii="Times New Roman" w:hAnsi="Times New Roman" w:cs="Times New Roman"/>
      <w:kern w:val="28"/>
      <w:sz w:val="36"/>
      <w:szCs w:val="28"/>
      <w:lang w:eastAsia="en-US"/>
    </w:rPr>
  </w:style>
  <w:style w:type="character" w:customStyle="1" w:styleId="BaseHeadingChar">
    <w:name w:val="Base_Heading Char"/>
    <w:link w:val="BaseHeading"/>
    <w:rsid w:val="00271FF0"/>
    <w:rPr>
      <w:rFonts w:ascii="Times New Roman" w:eastAsia="宋体" w:hAnsi="Times New Roman" w:cs="Times New Roman"/>
      <w:kern w:val="28"/>
      <w:sz w:val="36"/>
      <w:szCs w:val="28"/>
      <w:lang w:eastAsia="en-US"/>
    </w:rPr>
  </w:style>
  <w:style w:type="paragraph" w:customStyle="1" w:styleId="BaseText">
    <w:name w:val="Base_Text"/>
    <w:link w:val="BaseTextChar"/>
    <w:rsid w:val="00271FF0"/>
    <w:pPr>
      <w:spacing w:beforeLines="0" w:before="120" w:afterLines="0"/>
    </w:pPr>
    <w:rPr>
      <w:rFonts w:ascii="Times New Roman" w:hAnsi="Times New Roman" w:cs="Times New Roman"/>
      <w:kern w:val="0"/>
      <w:sz w:val="24"/>
      <w:szCs w:val="24"/>
      <w:lang w:eastAsia="en-US"/>
    </w:rPr>
  </w:style>
  <w:style w:type="character" w:customStyle="1" w:styleId="BaseTextChar">
    <w:name w:val="Base_Text Char"/>
    <w:link w:val="BaseText"/>
    <w:rsid w:val="00271FF0"/>
    <w:rPr>
      <w:rFonts w:ascii="Times New Roman" w:eastAsia="宋体" w:hAnsi="Times New Roman" w:cs="Times New Roman"/>
      <w:kern w:val="0"/>
      <w:sz w:val="24"/>
      <w:szCs w:val="24"/>
      <w:lang w:eastAsia="en-US"/>
    </w:rPr>
  </w:style>
  <w:style w:type="paragraph" w:customStyle="1" w:styleId="htitle">
    <w:name w:val="htitle"/>
    <w:basedOn w:val="BaseHeading"/>
    <w:link w:val="htitleChar"/>
    <w:rsid w:val="00271FF0"/>
    <w:rPr>
      <w:szCs w:val="20"/>
    </w:rPr>
  </w:style>
  <w:style w:type="character" w:customStyle="1" w:styleId="htitleChar">
    <w:name w:val="htitle Char"/>
    <w:basedOn w:val="BaseHeadingChar"/>
    <w:link w:val="htitle"/>
    <w:rsid w:val="00271FF0"/>
    <w:rPr>
      <w:rFonts w:ascii="Times New Roman" w:eastAsia="宋体" w:hAnsi="Times New Roman" w:cs="Times New Roman"/>
      <w:kern w:val="28"/>
      <w:sz w:val="36"/>
      <w:szCs w:val="20"/>
      <w:lang w:eastAsia="en-US"/>
    </w:rPr>
  </w:style>
  <w:style w:type="paragraph" w:customStyle="1" w:styleId="hsubtitle">
    <w:name w:val="hsubtitle"/>
    <w:basedOn w:val="BaseHeading"/>
    <w:rsid w:val="00271FF0"/>
    <w:rPr>
      <w:sz w:val="24"/>
      <w:szCs w:val="20"/>
    </w:rPr>
  </w:style>
  <w:style w:type="paragraph" w:customStyle="1" w:styleId="hrrunninghead-foot">
    <w:name w:val="hrrunninghead-foot"/>
    <w:basedOn w:val="BaseText"/>
    <w:rsid w:val="00271FF0"/>
    <w:pPr>
      <w:jc w:val="center"/>
    </w:pPr>
    <w:rPr>
      <w:sz w:val="21"/>
      <w:szCs w:val="20"/>
    </w:rPr>
  </w:style>
  <w:style w:type="paragraph" w:customStyle="1" w:styleId="hlrunninghead-foot">
    <w:name w:val="hlrunninghead-foot"/>
    <w:basedOn w:val="BaseText"/>
    <w:rsid w:val="00271FF0"/>
    <w:pPr>
      <w:jc w:val="center"/>
    </w:pPr>
    <w:rPr>
      <w:sz w:val="21"/>
      <w:szCs w:val="20"/>
    </w:rPr>
  </w:style>
  <w:style w:type="paragraph" w:customStyle="1" w:styleId="h1stpagehead">
    <w:name w:val="h1stpagehead"/>
    <w:basedOn w:val="BaseHeading"/>
    <w:rsid w:val="00271FF0"/>
    <w:rPr>
      <w:sz w:val="21"/>
      <w:szCs w:val="20"/>
    </w:rPr>
  </w:style>
  <w:style w:type="paragraph" w:customStyle="1" w:styleId="hauthors">
    <w:name w:val="hauthors"/>
    <w:basedOn w:val="BaseText"/>
    <w:rsid w:val="00271FF0"/>
    <w:rPr>
      <w:sz w:val="21"/>
      <w:szCs w:val="20"/>
    </w:rPr>
  </w:style>
  <w:style w:type="paragraph" w:customStyle="1" w:styleId="haffiliations">
    <w:name w:val="haffiliations"/>
    <w:basedOn w:val="BaseText"/>
    <w:link w:val="haffiliationsChar"/>
    <w:rsid w:val="00271FF0"/>
    <w:rPr>
      <w:sz w:val="21"/>
      <w:szCs w:val="20"/>
    </w:rPr>
  </w:style>
  <w:style w:type="character" w:customStyle="1" w:styleId="haffiliationsChar">
    <w:name w:val="haffiliations Char"/>
    <w:link w:val="haffiliations"/>
    <w:rsid w:val="00271FF0"/>
    <w:rPr>
      <w:rFonts w:ascii="Times New Roman" w:eastAsia="宋体" w:hAnsi="Times New Roman" w:cs="Times New Roman"/>
      <w:kern w:val="0"/>
      <w:szCs w:val="20"/>
      <w:lang w:eastAsia="en-US"/>
    </w:rPr>
  </w:style>
  <w:style w:type="paragraph" w:customStyle="1" w:styleId="hcorrespondence">
    <w:name w:val="hcorrespondence"/>
    <w:basedOn w:val="BaseText"/>
    <w:rsid w:val="00271FF0"/>
    <w:rPr>
      <w:sz w:val="21"/>
      <w:szCs w:val="20"/>
    </w:rPr>
  </w:style>
  <w:style w:type="paragraph" w:customStyle="1" w:styleId="habstracthead">
    <w:name w:val="habstracthead"/>
    <w:basedOn w:val="BaseHeading"/>
    <w:rsid w:val="00271FF0"/>
    <w:rPr>
      <w:b/>
      <w:sz w:val="21"/>
      <w:szCs w:val="20"/>
    </w:rPr>
  </w:style>
  <w:style w:type="paragraph" w:customStyle="1" w:styleId="habstract">
    <w:name w:val="habstract"/>
    <w:basedOn w:val="BaseText"/>
    <w:rsid w:val="00271FF0"/>
    <w:rPr>
      <w:sz w:val="21"/>
      <w:szCs w:val="20"/>
    </w:rPr>
  </w:style>
  <w:style w:type="paragraph" w:customStyle="1" w:styleId="hkeywords">
    <w:name w:val="hkeywords"/>
    <w:basedOn w:val="BaseText"/>
    <w:rsid w:val="00271FF0"/>
    <w:rPr>
      <w:sz w:val="21"/>
      <w:szCs w:val="20"/>
    </w:rPr>
  </w:style>
  <w:style w:type="paragraph" w:customStyle="1" w:styleId="habbreviations">
    <w:name w:val="habbreviations"/>
    <w:basedOn w:val="BaseText"/>
    <w:rsid w:val="00271FF0"/>
    <w:rPr>
      <w:sz w:val="21"/>
      <w:szCs w:val="20"/>
    </w:rPr>
  </w:style>
  <w:style w:type="paragraph" w:customStyle="1" w:styleId="hfootnote">
    <w:name w:val="hfootnote"/>
    <w:basedOn w:val="BaseText"/>
    <w:rsid w:val="00271FF0"/>
    <w:rPr>
      <w:sz w:val="21"/>
      <w:szCs w:val="20"/>
    </w:rPr>
  </w:style>
  <w:style w:type="paragraph" w:customStyle="1" w:styleId="hhead1">
    <w:name w:val="hhead1"/>
    <w:basedOn w:val="BaseHeading"/>
    <w:rsid w:val="00271FF0"/>
    <w:rPr>
      <w:sz w:val="32"/>
      <w:szCs w:val="20"/>
    </w:rPr>
  </w:style>
  <w:style w:type="paragraph" w:customStyle="1" w:styleId="hhead2">
    <w:name w:val="hhead2"/>
    <w:basedOn w:val="BaseHeading"/>
    <w:rsid w:val="00271FF0"/>
    <w:pPr>
      <w:outlineLvl w:val="1"/>
    </w:pPr>
    <w:rPr>
      <w:sz w:val="28"/>
      <w:szCs w:val="20"/>
    </w:rPr>
  </w:style>
  <w:style w:type="paragraph" w:customStyle="1" w:styleId="hhead3">
    <w:name w:val="hhead3"/>
    <w:basedOn w:val="BaseHeading"/>
    <w:rsid w:val="00271FF0"/>
    <w:pPr>
      <w:outlineLvl w:val="2"/>
    </w:pPr>
    <w:rPr>
      <w:sz w:val="24"/>
      <w:szCs w:val="20"/>
    </w:rPr>
  </w:style>
  <w:style w:type="paragraph" w:customStyle="1" w:styleId="hparagraph">
    <w:name w:val="hparagraph"/>
    <w:basedOn w:val="BaseText"/>
    <w:rsid w:val="00271FF0"/>
    <w:rPr>
      <w:sz w:val="21"/>
      <w:szCs w:val="20"/>
    </w:rPr>
  </w:style>
  <w:style w:type="paragraph" w:customStyle="1" w:styleId="hparagraphindent">
    <w:name w:val="hparagraphindent"/>
    <w:basedOn w:val="BaseText"/>
    <w:rsid w:val="00271FF0"/>
    <w:pPr>
      <w:ind w:firstLineChars="100" w:firstLine="100"/>
    </w:pPr>
    <w:rPr>
      <w:sz w:val="21"/>
      <w:szCs w:val="20"/>
    </w:rPr>
  </w:style>
  <w:style w:type="paragraph" w:customStyle="1" w:styleId="hparagraphconti">
    <w:name w:val="hparagraphconti"/>
    <w:basedOn w:val="BaseText"/>
    <w:rsid w:val="00271FF0"/>
    <w:rPr>
      <w:sz w:val="21"/>
      <w:szCs w:val="20"/>
    </w:rPr>
  </w:style>
  <w:style w:type="paragraph" w:customStyle="1" w:styleId="hemphasisshading">
    <w:name w:val="hemphasisshading"/>
    <w:basedOn w:val="BaseText"/>
    <w:rsid w:val="00271FF0"/>
    <w:pPr>
      <w:shd w:val="clear" w:color="auto" w:fill="C0C0C0"/>
    </w:pPr>
    <w:rPr>
      <w:sz w:val="21"/>
      <w:szCs w:val="20"/>
    </w:rPr>
  </w:style>
  <w:style w:type="paragraph" w:customStyle="1" w:styleId="hequation">
    <w:name w:val="hequation"/>
    <w:basedOn w:val="BaseText"/>
    <w:rsid w:val="00271FF0"/>
    <w:pPr>
      <w:jc w:val="center"/>
    </w:pPr>
    <w:rPr>
      <w:sz w:val="21"/>
      <w:szCs w:val="20"/>
    </w:rPr>
  </w:style>
  <w:style w:type="paragraph" w:customStyle="1" w:styleId="hequationno">
    <w:name w:val="hequationno"/>
    <w:basedOn w:val="BaseText"/>
    <w:rsid w:val="00271FF0"/>
    <w:pPr>
      <w:jc w:val="right"/>
    </w:pPr>
    <w:rPr>
      <w:sz w:val="21"/>
      <w:szCs w:val="20"/>
    </w:rPr>
  </w:style>
  <w:style w:type="paragraph" w:customStyle="1" w:styleId="hunnumberedlist">
    <w:name w:val="hunnumberedlist"/>
    <w:basedOn w:val="BaseText"/>
    <w:rsid w:val="00271FF0"/>
    <w:pPr>
      <w:ind w:left="720" w:hanging="360"/>
    </w:pPr>
    <w:rPr>
      <w:sz w:val="21"/>
      <w:szCs w:val="20"/>
    </w:rPr>
  </w:style>
  <w:style w:type="paragraph" w:customStyle="1" w:styleId="hbulletedlist">
    <w:name w:val="hbulletedlist"/>
    <w:basedOn w:val="BaseText"/>
    <w:rsid w:val="00271FF0"/>
    <w:pPr>
      <w:ind w:left="720" w:hanging="360"/>
    </w:pPr>
    <w:rPr>
      <w:sz w:val="21"/>
      <w:szCs w:val="20"/>
    </w:rPr>
  </w:style>
  <w:style w:type="paragraph" w:customStyle="1" w:styleId="hnumberedlist1">
    <w:name w:val="hnumberedlist1"/>
    <w:basedOn w:val="BaseText"/>
    <w:rsid w:val="00271FF0"/>
    <w:pPr>
      <w:ind w:left="720" w:hanging="360"/>
    </w:pPr>
    <w:rPr>
      <w:sz w:val="21"/>
    </w:rPr>
  </w:style>
  <w:style w:type="paragraph" w:customStyle="1" w:styleId="htabletitle">
    <w:name w:val="htabletitle"/>
    <w:basedOn w:val="BaseText"/>
    <w:rsid w:val="00271FF0"/>
    <w:pPr>
      <w:keepNext/>
      <w:spacing w:before="240"/>
      <w:outlineLvl w:val="0"/>
    </w:pPr>
    <w:rPr>
      <w:kern w:val="28"/>
      <w:sz w:val="18"/>
      <w:szCs w:val="20"/>
    </w:rPr>
  </w:style>
  <w:style w:type="paragraph" w:customStyle="1" w:styleId="htablebody">
    <w:name w:val="htablebody"/>
    <w:basedOn w:val="BaseText"/>
    <w:rsid w:val="00271FF0"/>
    <w:pPr>
      <w:spacing w:before="0"/>
    </w:pPr>
    <w:rPr>
      <w:sz w:val="18"/>
      <w:szCs w:val="20"/>
    </w:rPr>
  </w:style>
  <w:style w:type="paragraph" w:customStyle="1" w:styleId="htablehead">
    <w:name w:val="htablehead"/>
    <w:basedOn w:val="BaseText"/>
    <w:rsid w:val="00271FF0"/>
    <w:pPr>
      <w:spacing w:before="0"/>
    </w:pPr>
    <w:rPr>
      <w:sz w:val="18"/>
      <w:szCs w:val="20"/>
    </w:rPr>
  </w:style>
  <w:style w:type="paragraph" w:customStyle="1" w:styleId="htablefootnote">
    <w:name w:val="htablefootnote"/>
    <w:basedOn w:val="BaseText"/>
    <w:rsid w:val="00271FF0"/>
    <w:pPr>
      <w:ind w:left="720"/>
    </w:pPr>
    <w:rPr>
      <w:sz w:val="18"/>
      <w:szCs w:val="20"/>
    </w:rPr>
  </w:style>
  <w:style w:type="paragraph" w:customStyle="1" w:styleId="htablelegend">
    <w:name w:val="htablelegend"/>
    <w:basedOn w:val="BaseText"/>
    <w:rsid w:val="00271FF0"/>
    <w:pPr>
      <w:ind w:left="720"/>
    </w:pPr>
    <w:rPr>
      <w:sz w:val="18"/>
      <w:szCs w:val="20"/>
    </w:rPr>
  </w:style>
  <w:style w:type="paragraph" w:customStyle="1" w:styleId="hacknowledgmenthead">
    <w:name w:val="hacknowledgmenthead"/>
    <w:basedOn w:val="BaseHeading"/>
    <w:rsid w:val="00271FF0"/>
    <w:rPr>
      <w:sz w:val="24"/>
      <w:szCs w:val="20"/>
    </w:rPr>
  </w:style>
  <w:style w:type="paragraph" w:customStyle="1" w:styleId="hacknowledgment">
    <w:name w:val="hacknowledgment"/>
    <w:basedOn w:val="BaseText"/>
    <w:rsid w:val="00271FF0"/>
    <w:rPr>
      <w:sz w:val="21"/>
      <w:szCs w:val="20"/>
    </w:rPr>
  </w:style>
  <w:style w:type="paragraph" w:customStyle="1" w:styleId="happendixhead">
    <w:name w:val="happendixhead"/>
    <w:basedOn w:val="BaseHeading"/>
    <w:rsid w:val="00271FF0"/>
    <w:rPr>
      <w:sz w:val="32"/>
      <w:szCs w:val="20"/>
    </w:rPr>
  </w:style>
  <w:style w:type="paragraph" w:customStyle="1" w:styleId="happendixtext">
    <w:name w:val="happendixtext"/>
    <w:basedOn w:val="BaseText"/>
    <w:rsid w:val="00271FF0"/>
    <w:rPr>
      <w:sz w:val="21"/>
      <w:szCs w:val="20"/>
    </w:rPr>
  </w:style>
  <w:style w:type="paragraph" w:customStyle="1" w:styleId="hreferencehead">
    <w:name w:val="hreferencehead"/>
    <w:basedOn w:val="BaseHeading"/>
    <w:rsid w:val="00271FF0"/>
    <w:rPr>
      <w:b/>
      <w:sz w:val="24"/>
      <w:szCs w:val="20"/>
    </w:rPr>
  </w:style>
  <w:style w:type="paragraph" w:customStyle="1" w:styleId="hreference">
    <w:name w:val="hreference"/>
    <w:basedOn w:val="BaseText"/>
    <w:autoRedefine/>
    <w:rsid w:val="00271FF0"/>
    <w:rPr>
      <w:sz w:val="17"/>
      <w:szCs w:val="20"/>
    </w:rPr>
  </w:style>
  <w:style w:type="paragraph" w:customStyle="1" w:styleId="hcontinuedlist1">
    <w:name w:val="hcontinuedlist1"/>
    <w:basedOn w:val="BaseText"/>
    <w:rsid w:val="00271FF0"/>
    <w:pPr>
      <w:ind w:left="720"/>
    </w:pPr>
    <w:rPr>
      <w:sz w:val="21"/>
    </w:rPr>
  </w:style>
  <w:style w:type="paragraph" w:customStyle="1" w:styleId="hfigurecaption">
    <w:name w:val="hfigurecaption"/>
    <w:basedOn w:val="BaseText"/>
    <w:rsid w:val="00271FF0"/>
    <w:pPr>
      <w:outlineLvl w:val="0"/>
    </w:pPr>
    <w:rPr>
      <w:sz w:val="18"/>
      <w:szCs w:val="20"/>
    </w:rPr>
  </w:style>
  <w:style w:type="paragraph" w:customStyle="1" w:styleId="hfigureimage">
    <w:name w:val="hfigureimage"/>
    <w:basedOn w:val="BaseText"/>
    <w:rsid w:val="00271FF0"/>
    <w:pPr>
      <w:jc w:val="center"/>
    </w:pPr>
  </w:style>
  <w:style w:type="paragraph" w:customStyle="1" w:styleId="hfigurecaptioncontinued">
    <w:name w:val="hfigurecaptioncontinued"/>
    <w:basedOn w:val="hfigurecaption"/>
    <w:rsid w:val="00271FF0"/>
    <w:pPr>
      <w:spacing w:before="60"/>
      <w:outlineLvl w:val="9"/>
    </w:pPr>
  </w:style>
  <w:style w:type="paragraph" w:customStyle="1" w:styleId="hcomputercode">
    <w:name w:val="hcomputercode"/>
    <w:basedOn w:val="BaseText"/>
    <w:rsid w:val="00271FF0"/>
    <w:pPr>
      <w:tabs>
        <w:tab w:val="left" w:pos="360"/>
        <w:tab w:val="left" w:pos="720"/>
        <w:tab w:val="left" w:pos="1080"/>
        <w:tab w:val="left" w:pos="1440"/>
        <w:tab w:val="left" w:pos="1800"/>
        <w:tab w:val="left" w:pos="2160"/>
        <w:tab w:val="left" w:pos="2520"/>
        <w:tab w:val="left" w:pos="2880"/>
      </w:tabs>
    </w:pPr>
    <w:rPr>
      <w:rFonts w:ascii="Courier New" w:hAnsi="Courier New"/>
      <w:sz w:val="20"/>
    </w:rPr>
  </w:style>
  <w:style w:type="paragraph" w:customStyle="1" w:styleId="hhead4">
    <w:name w:val="hhead4"/>
    <w:basedOn w:val="BaseHeading"/>
    <w:rsid w:val="00271FF0"/>
    <w:pPr>
      <w:outlineLvl w:val="3"/>
    </w:pPr>
    <w:rPr>
      <w:sz w:val="22"/>
    </w:rPr>
  </w:style>
  <w:style w:type="paragraph" w:customStyle="1" w:styleId="hkeywordsheadPC">
    <w:name w:val="hkeywordshead P&amp;C"/>
    <w:basedOn w:val="hkeywordsPC"/>
    <w:autoRedefine/>
    <w:rsid w:val="00271FF0"/>
    <w:rPr>
      <w:b/>
      <w:caps/>
    </w:rPr>
  </w:style>
  <w:style w:type="paragraph" w:customStyle="1" w:styleId="hhead1PC">
    <w:name w:val="hhead1 P&amp;C"/>
    <w:basedOn w:val="hhead1"/>
    <w:rsid w:val="00271FF0"/>
    <w:rPr>
      <w:rFonts w:eastAsia="黑体"/>
      <w:b/>
      <w:caps/>
    </w:rPr>
  </w:style>
  <w:style w:type="paragraph" w:customStyle="1" w:styleId="hhead2PC">
    <w:name w:val="hhead2 P&amp;C"/>
    <w:basedOn w:val="hhead2"/>
    <w:rsid w:val="00271FF0"/>
    <w:rPr>
      <w:rFonts w:eastAsia="黑体"/>
      <w:b/>
      <w:lang w:eastAsia="zh-CN"/>
    </w:rPr>
  </w:style>
  <w:style w:type="paragraph" w:customStyle="1" w:styleId="habstractPC">
    <w:name w:val="habstract P&amp;C"/>
    <w:basedOn w:val="habstract"/>
    <w:rsid w:val="00271FF0"/>
    <w:rPr>
      <w:rFonts w:eastAsia="黑体"/>
      <w:b/>
    </w:rPr>
  </w:style>
  <w:style w:type="paragraph" w:customStyle="1" w:styleId="hkeywordsPC">
    <w:name w:val="hkeywords P&amp;C"/>
    <w:basedOn w:val="hkeywords"/>
    <w:rsid w:val="00271FF0"/>
    <w:rPr>
      <w:rFonts w:eastAsia="Times New Roman"/>
      <w:lang w:eastAsia="zh-CN"/>
    </w:rPr>
  </w:style>
  <w:style w:type="paragraph" w:customStyle="1" w:styleId="hreferenceheadPC">
    <w:name w:val="hreferencehead P&amp;C"/>
    <w:basedOn w:val="habstractPC"/>
    <w:rsid w:val="00271FF0"/>
    <w:rPr>
      <w:caps/>
    </w:rPr>
  </w:style>
  <w:style w:type="paragraph" w:customStyle="1" w:styleId="hacknowledgmentheadPC">
    <w:name w:val="hacknowledgmenthead P&amp;C"/>
    <w:basedOn w:val="hreferenceheadPC"/>
    <w:rsid w:val="00271FF0"/>
    <w:rPr>
      <w:caps w:val="0"/>
      <w:lang w:eastAsia="zh-CN"/>
    </w:rPr>
  </w:style>
  <w:style w:type="paragraph" w:customStyle="1" w:styleId="habstractheadPC">
    <w:name w:val="habstracthead P&amp;C"/>
    <w:basedOn w:val="habstracthead"/>
    <w:rsid w:val="00271FF0"/>
    <w:rPr>
      <w:caps/>
    </w:rPr>
  </w:style>
  <w:style w:type="paragraph" w:customStyle="1" w:styleId="hcorrespondenceFPY">
    <w:name w:val="hcorrespondence FPY"/>
    <w:basedOn w:val="hcorrespondence"/>
    <w:rsid w:val="00271FF0"/>
    <w:rPr>
      <w:i/>
    </w:rPr>
  </w:style>
  <w:style w:type="paragraph" w:customStyle="1" w:styleId="haffiliationsFPY">
    <w:name w:val="haffiliations FPY"/>
    <w:basedOn w:val="haffiliations"/>
    <w:rsid w:val="00271FF0"/>
    <w:rPr>
      <w:i/>
    </w:rPr>
  </w:style>
  <w:style w:type="paragraph" w:customStyle="1" w:styleId="hnotationhead">
    <w:name w:val="hnotationhead"/>
    <w:basedOn w:val="hhead1"/>
    <w:rsid w:val="00271FF0"/>
    <w:rPr>
      <w:lang w:eastAsia="zh-CN"/>
    </w:rPr>
  </w:style>
  <w:style w:type="paragraph" w:customStyle="1" w:styleId="hnotationtext">
    <w:name w:val="hnotationtext"/>
    <w:basedOn w:val="hparagraph"/>
    <w:rsid w:val="00271FF0"/>
    <w:rPr>
      <w:sz w:val="18"/>
      <w:lang w:eastAsia="zh-CN"/>
    </w:rPr>
  </w:style>
  <w:style w:type="paragraph" w:customStyle="1" w:styleId="htitleFMD">
    <w:name w:val="htitle FMD"/>
    <w:basedOn w:val="htitle"/>
    <w:autoRedefine/>
    <w:rsid w:val="00271FF0"/>
    <w:rPr>
      <w:rFonts w:eastAsia="黑体"/>
      <w:b/>
      <w:lang w:eastAsia="zh-CN"/>
    </w:rPr>
  </w:style>
  <w:style w:type="paragraph" w:customStyle="1" w:styleId="hhead1FMD">
    <w:name w:val="hhead1 FMD"/>
    <w:basedOn w:val="hhead1"/>
    <w:autoRedefine/>
    <w:rsid w:val="00271FF0"/>
    <w:rPr>
      <w:b/>
      <w:sz w:val="24"/>
    </w:rPr>
  </w:style>
  <w:style w:type="paragraph" w:customStyle="1" w:styleId="hhead2FMD">
    <w:name w:val="hhead2 FMD"/>
    <w:basedOn w:val="hhead2"/>
    <w:autoRedefine/>
    <w:rsid w:val="00271FF0"/>
    <w:rPr>
      <w:sz w:val="20"/>
    </w:rPr>
  </w:style>
  <w:style w:type="paragraph" w:customStyle="1" w:styleId="hhead3FMD">
    <w:name w:val="hhead3 FMD"/>
    <w:basedOn w:val="hhead3"/>
    <w:autoRedefine/>
    <w:rsid w:val="00271FF0"/>
    <w:rPr>
      <w:i/>
      <w:sz w:val="20"/>
    </w:rPr>
  </w:style>
  <w:style w:type="paragraph" w:customStyle="1" w:styleId="hauthorsFMD">
    <w:name w:val="hauthors FMD"/>
    <w:basedOn w:val="hauthors"/>
    <w:autoRedefine/>
    <w:rsid w:val="00271FF0"/>
    <w:rPr>
      <w:sz w:val="20"/>
    </w:rPr>
  </w:style>
  <w:style w:type="paragraph" w:customStyle="1" w:styleId="haffiliationsFMD">
    <w:name w:val="haffiliations FMD"/>
    <w:basedOn w:val="haffiliations"/>
    <w:autoRedefine/>
    <w:rsid w:val="00271FF0"/>
    <w:rPr>
      <w:i/>
      <w:sz w:val="18"/>
    </w:rPr>
  </w:style>
  <w:style w:type="paragraph" w:customStyle="1" w:styleId="habstractFMD">
    <w:name w:val="habstract FMD"/>
    <w:basedOn w:val="habstract"/>
    <w:autoRedefine/>
    <w:rsid w:val="00271FF0"/>
    <w:pPr>
      <w:jc w:val="both"/>
    </w:pPr>
    <w:rPr>
      <w:b/>
    </w:rPr>
  </w:style>
  <w:style w:type="paragraph" w:customStyle="1" w:styleId="hkeywordsFMD">
    <w:name w:val="hkeywords FMD"/>
    <w:basedOn w:val="habstractFMD"/>
    <w:autoRedefine/>
    <w:rsid w:val="00271FF0"/>
    <w:pPr>
      <w:jc w:val="left"/>
    </w:pPr>
    <w:rPr>
      <w:b w:val="0"/>
      <w:sz w:val="20"/>
    </w:rPr>
  </w:style>
  <w:style w:type="paragraph" w:customStyle="1" w:styleId="hfootnoteFMD">
    <w:name w:val="hfootnote FMD"/>
    <w:basedOn w:val="hfootnote"/>
    <w:autoRedefine/>
    <w:rsid w:val="00271FF0"/>
    <w:rPr>
      <w:sz w:val="17"/>
    </w:rPr>
  </w:style>
  <w:style w:type="paragraph" w:customStyle="1" w:styleId="hparagraphFMD">
    <w:name w:val="hparagraph FMD"/>
    <w:basedOn w:val="hparagraph"/>
    <w:autoRedefine/>
    <w:rsid w:val="00271FF0"/>
    <w:pPr>
      <w:jc w:val="both"/>
    </w:pPr>
    <w:rPr>
      <w:sz w:val="20"/>
    </w:rPr>
  </w:style>
  <w:style w:type="paragraph" w:customStyle="1" w:styleId="hparagraphindentFMD">
    <w:name w:val="hparagraphindent FMD"/>
    <w:basedOn w:val="hparagraphindent"/>
    <w:autoRedefine/>
    <w:rsid w:val="00271FF0"/>
    <w:pPr>
      <w:jc w:val="both"/>
    </w:pPr>
    <w:rPr>
      <w:sz w:val="20"/>
    </w:rPr>
  </w:style>
  <w:style w:type="paragraph" w:customStyle="1" w:styleId="htabletitleFMD">
    <w:name w:val="htabletitle FMD"/>
    <w:basedOn w:val="htabletitle"/>
    <w:autoRedefine/>
    <w:rsid w:val="00271FF0"/>
    <w:rPr>
      <w:sz w:val="17"/>
    </w:rPr>
  </w:style>
  <w:style w:type="paragraph" w:customStyle="1" w:styleId="htablebodyFMD">
    <w:name w:val="htablebody FMD"/>
    <w:basedOn w:val="htablebody"/>
    <w:autoRedefine/>
    <w:rsid w:val="00271FF0"/>
    <w:rPr>
      <w:sz w:val="16"/>
    </w:rPr>
  </w:style>
  <w:style w:type="paragraph" w:customStyle="1" w:styleId="htableheadFMD">
    <w:name w:val="htablehead FMD"/>
    <w:basedOn w:val="htablehead"/>
    <w:autoRedefine/>
    <w:rsid w:val="00271FF0"/>
    <w:rPr>
      <w:sz w:val="16"/>
    </w:rPr>
  </w:style>
  <w:style w:type="paragraph" w:customStyle="1" w:styleId="hfigurecaptionFMD">
    <w:name w:val="hfigurecaption FMD"/>
    <w:basedOn w:val="hfigurecaption"/>
    <w:autoRedefine/>
    <w:rsid w:val="00271FF0"/>
    <w:rPr>
      <w:sz w:val="17"/>
    </w:rPr>
  </w:style>
  <w:style w:type="paragraph" w:customStyle="1" w:styleId="hacknowledgmentFMD">
    <w:name w:val="hacknowledgment FMD"/>
    <w:basedOn w:val="hacknowledgment"/>
    <w:autoRedefine/>
    <w:rsid w:val="00271FF0"/>
    <w:rPr>
      <w:sz w:val="18"/>
    </w:rPr>
  </w:style>
  <w:style w:type="paragraph" w:customStyle="1" w:styleId="hreferenceFMD">
    <w:name w:val="hreference FMD"/>
    <w:basedOn w:val="hreference"/>
    <w:autoRedefine/>
    <w:rsid w:val="00271FF0"/>
  </w:style>
  <w:style w:type="paragraph" w:customStyle="1" w:styleId="habbreviationsFMD">
    <w:name w:val="habbreviations FMD"/>
    <w:basedOn w:val="habbreviations"/>
    <w:autoRedefine/>
    <w:rsid w:val="00271FF0"/>
    <w:rPr>
      <w:sz w:val="18"/>
    </w:rPr>
  </w:style>
  <w:style w:type="paragraph" w:customStyle="1" w:styleId="hreferenceheadFMD">
    <w:name w:val="hreferencehead FMD"/>
    <w:basedOn w:val="hreferencehead"/>
    <w:autoRedefine/>
    <w:rsid w:val="00271FF0"/>
  </w:style>
  <w:style w:type="paragraph" w:customStyle="1" w:styleId="hacknowledgmentheadFMD">
    <w:name w:val="hacknowledgmenthead FMD"/>
    <w:basedOn w:val="hacknowledgmenthead"/>
    <w:autoRedefine/>
    <w:rsid w:val="00271FF0"/>
    <w:rPr>
      <w:b/>
    </w:rPr>
  </w:style>
  <w:style w:type="character" w:customStyle="1" w:styleId="a5">
    <w:name w:val="页眉 字符"/>
    <w:basedOn w:val="a0"/>
    <w:uiPriority w:val="99"/>
    <w:rsid w:val="00271FF0"/>
  </w:style>
  <w:style w:type="character" w:customStyle="1" w:styleId="11">
    <w:name w:val="标题 1 字符1"/>
    <w:link w:val="1"/>
    <w:uiPriority w:val="9"/>
    <w:rsid w:val="00271FF0"/>
    <w:rPr>
      <w:rFonts w:ascii="Times New Roman" w:eastAsia="宋体" w:hAnsi="Times New Roman" w:cs="Times New Roman (正文 CS 字体)"/>
      <w:b/>
      <w:bCs/>
      <w:kern w:val="44"/>
      <w:sz w:val="28"/>
      <w:szCs w:val="44"/>
      <w:lang w:eastAsia="en-US"/>
    </w:rPr>
  </w:style>
  <w:style w:type="character" w:customStyle="1" w:styleId="21">
    <w:name w:val="标题 2 字符1"/>
    <w:link w:val="2"/>
    <w:uiPriority w:val="9"/>
    <w:rsid w:val="00271FF0"/>
    <w:rPr>
      <w:rFonts w:ascii="Times New Roman" w:eastAsia="宋体" w:hAnsi="Times New Roman" w:cstheme="majorBidi"/>
      <w:b/>
      <w:bCs/>
      <w:kern w:val="0"/>
      <w:sz w:val="24"/>
      <w:szCs w:val="32"/>
      <w:lang w:eastAsia="en-US"/>
    </w:rPr>
  </w:style>
  <w:style w:type="paragraph" w:customStyle="1" w:styleId="a6">
    <w:basedOn w:val="a"/>
    <w:next w:val="a7"/>
    <w:link w:val="Char"/>
    <w:uiPriority w:val="34"/>
    <w:qFormat/>
    <w:rsid w:val="00271FF0"/>
    <w:pPr>
      <w:ind w:firstLineChars="200" w:firstLine="420"/>
    </w:pPr>
  </w:style>
  <w:style w:type="paragraph" w:styleId="a8">
    <w:name w:val="footnote text"/>
    <w:basedOn w:val="a"/>
    <w:link w:val="a9"/>
    <w:uiPriority w:val="99"/>
    <w:semiHidden/>
    <w:unhideWhenUsed/>
    <w:rsid w:val="00271FF0"/>
    <w:pPr>
      <w:snapToGrid w:val="0"/>
    </w:pPr>
    <w:rPr>
      <w:sz w:val="18"/>
      <w:szCs w:val="18"/>
    </w:rPr>
  </w:style>
  <w:style w:type="character" w:customStyle="1" w:styleId="a9">
    <w:name w:val="脚注文本 字符"/>
    <w:basedOn w:val="a0"/>
    <w:link w:val="a8"/>
    <w:uiPriority w:val="99"/>
    <w:semiHidden/>
    <w:rsid w:val="00271FF0"/>
    <w:rPr>
      <w:rFonts w:ascii="Times New Roman" w:eastAsia="宋体" w:hAnsi="Times New Roman" w:cs="Times New Roman"/>
      <w:kern w:val="0"/>
      <w:sz w:val="18"/>
      <w:szCs w:val="18"/>
      <w:lang w:eastAsia="en-US"/>
    </w:rPr>
  </w:style>
  <w:style w:type="paragraph" w:styleId="aa">
    <w:name w:val="annotation text"/>
    <w:basedOn w:val="a"/>
    <w:link w:val="13"/>
    <w:uiPriority w:val="99"/>
    <w:unhideWhenUsed/>
    <w:rsid w:val="00271FF0"/>
    <w:rPr>
      <w:rFonts w:ascii="Tahoma" w:eastAsia="Times New Roman" w:hAnsi="Tahoma" w:cs="Tahoma"/>
      <w:sz w:val="16"/>
    </w:rPr>
  </w:style>
  <w:style w:type="character" w:customStyle="1" w:styleId="ab">
    <w:name w:val="批注文字 字符"/>
    <w:basedOn w:val="a0"/>
    <w:uiPriority w:val="99"/>
    <w:rsid w:val="00271FF0"/>
    <w:rPr>
      <w:rFonts w:ascii="Times New Roman" w:eastAsia="宋体" w:hAnsi="Times New Roman" w:cs="Times New Roman (正文 CS 字体)"/>
      <w:kern w:val="0"/>
      <w:sz w:val="24"/>
      <w:szCs w:val="24"/>
      <w:lang w:eastAsia="en-US"/>
    </w:rPr>
  </w:style>
  <w:style w:type="character" w:customStyle="1" w:styleId="13">
    <w:name w:val="批注文字 字符1"/>
    <w:link w:val="aa"/>
    <w:uiPriority w:val="99"/>
    <w:rsid w:val="00271FF0"/>
    <w:rPr>
      <w:rFonts w:ascii="Tahoma" w:eastAsia="Times New Roman" w:hAnsi="Tahoma" w:cs="Tahoma"/>
      <w:kern w:val="0"/>
      <w:sz w:val="16"/>
      <w:szCs w:val="24"/>
      <w:lang w:eastAsia="en-US"/>
    </w:rPr>
  </w:style>
  <w:style w:type="paragraph" w:styleId="ac">
    <w:name w:val="header"/>
    <w:basedOn w:val="a"/>
    <w:link w:val="22"/>
    <w:uiPriority w:val="99"/>
    <w:unhideWhenUsed/>
    <w:qFormat/>
    <w:rsid w:val="00271FF0"/>
    <w:pPr>
      <w:pBdr>
        <w:bottom w:val="single" w:sz="6" w:space="1" w:color="auto"/>
      </w:pBdr>
      <w:tabs>
        <w:tab w:val="center" w:pos="4153"/>
        <w:tab w:val="right" w:pos="8306"/>
      </w:tabs>
      <w:snapToGrid w:val="0"/>
      <w:jc w:val="center"/>
    </w:pPr>
    <w:rPr>
      <w:sz w:val="18"/>
      <w:szCs w:val="18"/>
    </w:rPr>
  </w:style>
  <w:style w:type="character" w:customStyle="1" w:styleId="14">
    <w:name w:val="页眉 字符1"/>
    <w:basedOn w:val="a0"/>
    <w:uiPriority w:val="99"/>
    <w:semiHidden/>
    <w:rsid w:val="00271FF0"/>
    <w:rPr>
      <w:rFonts w:ascii="Times New Roman" w:eastAsia="宋体" w:hAnsi="Times New Roman" w:cs="Times New Roman (正文 CS 字体)"/>
      <w:kern w:val="0"/>
      <w:sz w:val="18"/>
      <w:szCs w:val="18"/>
      <w:lang w:eastAsia="en-US"/>
    </w:rPr>
  </w:style>
  <w:style w:type="character" w:customStyle="1" w:styleId="22">
    <w:name w:val="页眉 字符2"/>
    <w:link w:val="ac"/>
    <w:uiPriority w:val="99"/>
    <w:qFormat/>
    <w:rsid w:val="00271FF0"/>
    <w:rPr>
      <w:rFonts w:ascii="Times New Roman" w:eastAsia="宋体" w:hAnsi="Times New Roman" w:cs="Times New Roman"/>
      <w:kern w:val="0"/>
      <w:sz w:val="18"/>
      <w:szCs w:val="18"/>
      <w:lang w:eastAsia="en-US"/>
    </w:rPr>
  </w:style>
  <w:style w:type="paragraph" w:styleId="ad">
    <w:name w:val="footer"/>
    <w:basedOn w:val="a"/>
    <w:link w:val="15"/>
    <w:uiPriority w:val="99"/>
    <w:unhideWhenUsed/>
    <w:rsid w:val="00271FF0"/>
    <w:pPr>
      <w:tabs>
        <w:tab w:val="center" w:pos="4153"/>
        <w:tab w:val="right" w:pos="8306"/>
      </w:tabs>
      <w:snapToGrid w:val="0"/>
    </w:pPr>
    <w:rPr>
      <w:sz w:val="18"/>
      <w:szCs w:val="18"/>
    </w:rPr>
  </w:style>
  <w:style w:type="character" w:customStyle="1" w:styleId="ae">
    <w:name w:val="页脚 字符"/>
    <w:basedOn w:val="a0"/>
    <w:uiPriority w:val="99"/>
    <w:rsid w:val="00271FF0"/>
    <w:rPr>
      <w:rFonts w:ascii="Times New Roman" w:eastAsia="宋体" w:hAnsi="Times New Roman" w:cs="Times New Roman (正文 CS 字体)"/>
      <w:kern w:val="0"/>
      <w:sz w:val="18"/>
      <w:szCs w:val="18"/>
      <w:lang w:eastAsia="en-US"/>
    </w:rPr>
  </w:style>
  <w:style w:type="character" w:customStyle="1" w:styleId="15">
    <w:name w:val="页脚 字符1"/>
    <w:link w:val="ad"/>
    <w:uiPriority w:val="99"/>
    <w:qFormat/>
    <w:rsid w:val="00271FF0"/>
    <w:rPr>
      <w:rFonts w:ascii="Times New Roman" w:eastAsia="宋体" w:hAnsi="Times New Roman" w:cs="Times New Roman"/>
      <w:kern w:val="0"/>
      <w:sz w:val="18"/>
      <w:szCs w:val="18"/>
      <w:lang w:eastAsia="en-US"/>
    </w:rPr>
  </w:style>
  <w:style w:type="character" w:styleId="af">
    <w:name w:val="footnote reference"/>
    <w:basedOn w:val="a0"/>
    <w:uiPriority w:val="99"/>
    <w:semiHidden/>
    <w:unhideWhenUsed/>
    <w:rsid w:val="00271FF0"/>
    <w:rPr>
      <w:vertAlign w:val="superscript"/>
    </w:rPr>
  </w:style>
  <w:style w:type="character" w:styleId="af0">
    <w:name w:val="annotation reference"/>
    <w:uiPriority w:val="99"/>
    <w:semiHidden/>
    <w:unhideWhenUsed/>
    <w:qFormat/>
    <w:rsid w:val="00271FF0"/>
    <w:rPr>
      <w:rFonts w:ascii="Tahoma" w:hAnsi="Tahoma" w:cs="Tahoma"/>
      <w:b w:val="0"/>
      <w:i w:val="0"/>
      <w:caps w:val="0"/>
      <w:strike w:val="0"/>
      <w:sz w:val="16"/>
      <w:szCs w:val="21"/>
      <w:u w:val="none"/>
    </w:rPr>
  </w:style>
  <w:style w:type="character" w:styleId="af1">
    <w:name w:val="line number"/>
    <w:basedOn w:val="a0"/>
    <w:uiPriority w:val="99"/>
    <w:semiHidden/>
    <w:unhideWhenUsed/>
    <w:qFormat/>
    <w:rsid w:val="00271FF0"/>
  </w:style>
  <w:style w:type="paragraph" w:styleId="af2">
    <w:name w:val="macro"/>
    <w:link w:val="16"/>
    <w:uiPriority w:val="99"/>
    <w:semiHidden/>
    <w:rsid w:val="00271FF0"/>
    <w:pPr>
      <w:tabs>
        <w:tab w:val="left" w:pos="480"/>
        <w:tab w:val="left" w:pos="960"/>
        <w:tab w:val="left" w:pos="1440"/>
        <w:tab w:val="left" w:pos="1920"/>
        <w:tab w:val="left" w:pos="2400"/>
        <w:tab w:val="left" w:pos="2880"/>
        <w:tab w:val="left" w:pos="3360"/>
        <w:tab w:val="left" w:pos="3840"/>
        <w:tab w:val="left" w:pos="4320"/>
      </w:tabs>
      <w:spacing w:beforeLines="0" w:afterLines="0"/>
    </w:pPr>
    <w:rPr>
      <w:rFonts w:ascii="Courier New" w:eastAsia="MS Mincho" w:hAnsi="Courier New" w:cs="Courier New"/>
      <w:kern w:val="0"/>
      <w:lang w:eastAsia="en-US"/>
    </w:rPr>
  </w:style>
  <w:style w:type="character" w:customStyle="1" w:styleId="af3">
    <w:name w:val="宏文本 字符"/>
    <w:basedOn w:val="a0"/>
    <w:uiPriority w:val="99"/>
    <w:semiHidden/>
    <w:rsid w:val="00271FF0"/>
    <w:rPr>
      <w:rFonts w:ascii="Courier New" w:eastAsia="宋体" w:hAnsi="Courier New" w:cs="Courier New"/>
      <w:kern w:val="0"/>
      <w:sz w:val="24"/>
      <w:szCs w:val="24"/>
      <w:lang w:eastAsia="en-US"/>
    </w:rPr>
  </w:style>
  <w:style w:type="character" w:customStyle="1" w:styleId="16">
    <w:name w:val="宏文本 字符1"/>
    <w:link w:val="af2"/>
    <w:uiPriority w:val="99"/>
    <w:semiHidden/>
    <w:rsid w:val="00271FF0"/>
    <w:rPr>
      <w:rFonts w:ascii="Courier New" w:eastAsia="MS Mincho" w:hAnsi="Courier New" w:cs="Courier New"/>
      <w:kern w:val="0"/>
      <w:sz w:val="20"/>
      <w:szCs w:val="20"/>
      <w:lang w:eastAsia="en-US"/>
    </w:rPr>
  </w:style>
  <w:style w:type="character" w:styleId="af4">
    <w:name w:val="Hyperlink"/>
    <w:uiPriority w:val="99"/>
    <w:unhideWhenUsed/>
    <w:rsid w:val="00271FF0"/>
    <w:rPr>
      <w:color w:val="0000FF"/>
      <w:u w:val="single"/>
    </w:rPr>
  </w:style>
  <w:style w:type="character" w:styleId="af5">
    <w:name w:val="FollowedHyperlink"/>
    <w:uiPriority w:val="99"/>
    <w:unhideWhenUsed/>
    <w:rsid w:val="00271FF0"/>
    <w:rPr>
      <w:color w:val="800080"/>
      <w:u w:val="single"/>
    </w:rPr>
  </w:style>
  <w:style w:type="character" w:styleId="af6">
    <w:name w:val="Strong"/>
    <w:uiPriority w:val="22"/>
    <w:qFormat/>
    <w:rsid w:val="00271FF0"/>
    <w:rPr>
      <w:b/>
      <w:bCs/>
    </w:rPr>
  </w:style>
  <w:style w:type="paragraph" w:styleId="af7">
    <w:name w:val="Normal (Web)"/>
    <w:basedOn w:val="a"/>
    <w:uiPriority w:val="99"/>
    <w:semiHidden/>
    <w:unhideWhenUsed/>
    <w:rsid w:val="00271FF0"/>
    <w:pPr>
      <w:spacing w:before="100" w:beforeAutospacing="1" w:after="100" w:afterAutospacing="1"/>
    </w:pPr>
    <w:rPr>
      <w:rFonts w:ascii="宋体" w:hAnsi="宋体" w:cs="宋体"/>
    </w:rPr>
  </w:style>
  <w:style w:type="paragraph" w:styleId="HTML">
    <w:name w:val="HTML Preformatted"/>
    <w:basedOn w:val="a"/>
    <w:link w:val="HTML1"/>
    <w:uiPriority w:val="99"/>
    <w:semiHidden/>
    <w:unhideWhenUsed/>
    <w:rsid w:val="00271FF0"/>
    <w:rPr>
      <w:rFonts w:ascii="Courier New" w:hAnsi="Courier New" w:cs="Courier New"/>
    </w:rPr>
  </w:style>
  <w:style w:type="character" w:customStyle="1" w:styleId="HTML0">
    <w:name w:val="HTML 预设格式 字符"/>
    <w:basedOn w:val="a0"/>
    <w:uiPriority w:val="99"/>
    <w:semiHidden/>
    <w:rsid w:val="00271FF0"/>
    <w:rPr>
      <w:rFonts w:ascii="Courier New" w:eastAsia="宋体" w:hAnsi="Courier New" w:cs="Courier New"/>
      <w:kern w:val="0"/>
      <w:sz w:val="20"/>
      <w:szCs w:val="20"/>
      <w:lang w:eastAsia="en-US"/>
    </w:rPr>
  </w:style>
  <w:style w:type="character" w:customStyle="1" w:styleId="HTML1">
    <w:name w:val="HTML 预设格式 字符1"/>
    <w:link w:val="HTML"/>
    <w:uiPriority w:val="99"/>
    <w:semiHidden/>
    <w:rsid w:val="00271FF0"/>
    <w:rPr>
      <w:rFonts w:ascii="Courier New" w:eastAsia="宋体" w:hAnsi="Courier New" w:cs="Courier New"/>
      <w:kern w:val="0"/>
      <w:sz w:val="20"/>
      <w:szCs w:val="20"/>
      <w:lang w:eastAsia="en-US"/>
    </w:rPr>
  </w:style>
  <w:style w:type="paragraph" w:styleId="af8">
    <w:name w:val="annotation subject"/>
    <w:basedOn w:val="aa"/>
    <w:next w:val="aa"/>
    <w:link w:val="17"/>
    <w:uiPriority w:val="99"/>
    <w:semiHidden/>
    <w:unhideWhenUsed/>
    <w:rsid w:val="00271FF0"/>
    <w:rPr>
      <w:b/>
      <w:bCs/>
    </w:rPr>
  </w:style>
  <w:style w:type="character" w:customStyle="1" w:styleId="af9">
    <w:name w:val="批注主题 字符"/>
    <w:basedOn w:val="13"/>
    <w:uiPriority w:val="99"/>
    <w:semiHidden/>
    <w:rsid w:val="00271FF0"/>
    <w:rPr>
      <w:rFonts w:ascii="Times New Roman" w:eastAsia="宋体" w:hAnsi="Times New Roman" w:cs="Times New Roman (正文 CS 字体)"/>
      <w:b/>
      <w:bCs/>
      <w:kern w:val="0"/>
      <w:sz w:val="24"/>
      <w:szCs w:val="24"/>
      <w:lang w:eastAsia="en-US"/>
    </w:rPr>
  </w:style>
  <w:style w:type="character" w:customStyle="1" w:styleId="17">
    <w:name w:val="批注主题 字符1"/>
    <w:link w:val="af8"/>
    <w:uiPriority w:val="99"/>
    <w:semiHidden/>
    <w:qFormat/>
    <w:rsid w:val="00271FF0"/>
    <w:rPr>
      <w:rFonts w:ascii="Tahoma" w:eastAsia="Times New Roman" w:hAnsi="Tahoma" w:cs="Tahoma"/>
      <w:b/>
      <w:bCs/>
      <w:kern w:val="0"/>
      <w:sz w:val="16"/>
      <w:szCs w:val="24"/>
      <w:lang w:eastAsia="en-US"/>
    </w:rPr>
  </w:style>
  <w:style w:type="paragraph" w:styleId="afa">
    <w:name w:val="Balloon Text"/>
    <w:basedOn w:val="a"/>
    <w:link w:val="18"/>
    <w:uiPriority w:val="99"/>
    <w:semiHidden/>
    <w:unhideWhenUsed/>
    <w:rsid w:val="00271FF0"/>
    <w:rPr>
      <w:sz w:val="18"/>
      <w:szCs w:val="18"/>
    </w:rPr>
  </w:style>
  <w:style w:type="character" w:customStyle="1" w:styleId="afb">
    <w:name w:val="批注框文本 字符"/>
    <w:basedOn w:val="a0"/>
    <w:uiPriority w:val="99"/>
    <w:semiHidden/>
    <w:rsid w:val="00271FF0"/>
    <w:rPr>
      <w:rFonts w:ascii="Times New Roman" w:eastAsia="宋体" w:hAnsi="Times New Roman" w:cs="Times New Roman (正文 CS 字体)"/>
      <w:kern w:val="0"/>
      <w:sz w:val="18"/>
      <w:szCs w:val="18"/>
      <w:lang w:eastAsia="en-US"/>
    </w:rPr>
  </w:style>
  <w:style w:type="character" w:customStyle="1" w:styleId="18">
    <w:name w:val="批注框文本 字符1"/>
    <w:link w:val="afa"/>
    <w:uiPriority w:val="99"/>
    <w:semiHidden/>
    <w:rsid w:val="00271FF0"/>
    <w:rPr>
      <w:rFonts w:ascii="Times New Roman" w:eastAsia="宋体" w:hAnsi="Times New Roman" w:cs="Times New Roman"/>
      <w:kern w:val="0"/>
      <w:sz w:val="18"/>
      <w:szCs w:val="18"/>
      <w:lang w:eastAsia="en-US"/>
    </w:rPr>
  </w:style>
  <w:style w:type="table" w:styleId="afc">
    <w:name w:val="Table Grid"/>
    <w:basedOn w:val="a1"/>
    <w:uiPriority w:val="59"/>
    <w:qFormat/>
    <w:rsid w:val="00271FF0"/>
    <w:pPr>
      <w:spacing w:beforeLines="0" w:afterLines="0"/>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列出段落 Char"/>
    <w:basedOn w:val="a0"/>
    <w:link w:val="a6"/>
    <w:uiPriority w:val="34"/>
    <w:rsid w:val="00271FF0"/>
  </w:style>
  <w:style w:type="paragraph" w:styleId="a7">
    <w:name w:val="List Paragraph"/>
    <w:basedOn w:val="a"/>
    <w:uiPriority w:val="34"/>
    <w:qFormat/>
    <w:rsid w:val="00271FF0"/>
    <w:pPr>
      <w:ind w:firstLineChars="200" w:firstLine="420"/>
    </w:pPr>
  </w:style>
  <w:style w:type="character" w:styleId="afd">
    <w:name w:val="Unresolved Mention"/>
    <w:uiPriority w:val="99"/>
    <w:semiHidden/>
    <w:unhideWhenUsed/>
    <w:rsid w:val="00271FF0"/>
    <w:rPr>
      <w:color w:val="605E5C"/>
      <w:shd w:val="clear" w:color="auto" w:fill="E1DFDD"/>
    </w:rPr>
  </w:style>
  <w:style w:type="character" w:customStyle="1" w:styleId="st">
    <w:name w:val="st"/>
    <w:basedOn w:val="a0"/>
    <w:rsid w:val="00695CAB"/>
  </w:style>
  <w:style w:type="character" w:styleId="afe">
    <w:name w:val="Emphasis"/>
    <w:uiPriority w:val="20"/>
    <w:qFormat/>
    <w:rsid w:val="00695CAB"/>
    <w:rPr>
      <w:i/>
      <w:iCs/>
    </w:rPr>
  </w:style>
  <w:style w:type="paragraph" w:styleId="aff">
    <w:name w:val="Revision"/>
    <w:hidden/>
    <w:uiPriority w:val="99"/>
    <w:semiHidden/>
    <w:rsid w:val="00695CAB"/>
    <w:pPr>
      <w:spacing w:beforeLines="0" w:afterLines="0"/>
    </w:pPr>
    <w:rPr>
      <w:rFonts w:cs="Times New Roman"/>
      <w:sz w:val="21"/>
      <w:szCs w:val="22"/>
    </w:rPr>
  </w:style>
  <w:style w:type="character" w:customStyle="1" w:styleId="UnresolvedMention1">
    <w:name w:val="Unresolved Mention1"/>
    <w:uiPriority w:val="99"/>
    <w:semiHidden/>
    <w:unhideWhenUsed/>
    <w:rsid w:val="00695CAB"/>
    <w:rPr>
      <w:color w:val="605E5C"/>
      <w:shd w:val="clear" w:color="auto" w:fill="E1DFDD"/>
    </w:rPr>
  </w:style>
  <w:style w:type="character" w:customStyle="1" w:styleId="UnresolvedMention2">
    <w:name w:val="Unresolved Mention2"/>
    <w:uiPriority w:val="99"/>
    <w:semiHidden/>
    <w:unhideWhenUsed/>
    <w:rsid w:val="00695CAB"/>
    <w:rPr>
      <w:color w:val="605E5C"/>
      <w:shd w:val="clear" w:color="auto" w:fill="E1DFDD"/>
    </w:rPr>
  </w:style>
  <w:style w:type="paragraph" w:customStyle="1" w:styleId="Paragraph">
    <w:name w:val="Paragraph"/>
    <w:basedOn w:val="a"/>
    <w:rsid w:val="00695CAB"/>
    <w:pPr>
      <w:widowControl/>
      <w:spacing w:before="120"/>
      <w:ind w:firstLine="720"/>
      <w:jc w:val="left"/>
    </w:pPr>
    <w:rPr>
      <w:rFonts w:ascii="Times New Roman" w:eastAsia="Times New Roman" w:hAnsi="Times New Roman"/>
      <w:kern w:val="0"/>
      <w:sz w:val="24"/>
      <w:szCs w:val="24"/>
      <w:lang w:eastAsia="en-US"/>
    </w:rPr>
  </w:style>
  <w:style w:type="paragraph" w:styleId="aff0">
    <w:name w:val="Bibliography"/>
    <w:basedOn w:val="a"/>
    <w:next w:val="a"/>
    <w:uiPriority w:val="37"/>
    <w:unhideWhenUsed/>
    <w:rsid w:val="00695CAB"/>
    <w:pPr>
      <w:tabs>
        <w:tab w:val="left" w:pos="264"/>
      </w:tabs>
      <w:spacing w:after="240"/>
      <w:ind w:left="264" w:hanging="264"/>
    </w:pPr>
  </w:style>
  <w:style w:type="character" w:customStyle="1" w:styleId="jlqj4b">
    <w:name w:val="jlqj4b"/>
    <w:basedOn w:val="a0"/>
    <w:rsid w:val="00695CAB"/>
  </w:style>
  <w:style w:type="character" w:customStyle="1" w:styleId="viiyi">
    <w:name w:val="viiyi"/>
    <w:basedOn w:val="a0"/>
    <w:rsid w:val="00695CAB"/>
  </w:style>
  <w:style w:type="character" w:customStyle="1" w:styleId="UnresolvedMention3">
    <w:name w:val="Unresolved Mention3"/>
    <w:basedOn w:val="a0"/>
    <w:uiPriority w:val="99"/>
    <w:semiHidden/>
    <w:unhideWhenUsed/>
    <w:rsid w:val="00695C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14857-9A74-4435-93E5-54938DCD6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15</Pages>
  <Words>13101</Words>
  <Characters>74681</Characters>
  <Application>Microsoft Office Word</Application>
  <DocSecurity>0</DocSecurity>
  <Lines>622</Lines>
  <Paragraphs>175</Paragraphs>
  <ScaleCrop>false</ScaleCrop>
  <Company/>
  <LinksUpToDate>false</LinksUpToDate>
  <CharactersWithSpaces>87607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c:creator>
  <cp:keywords/>
  <dc:description/>
  <cp:lastModifiedBy>Zhu Lin</cp:lastModifiedBy>
  <cp:revision>4</cp:revision>
  <dcterms:created xsi:type="dcterms:W3CDTF">2022-08-11T05:54:00Z</dcterms:created>
  <dcterms:modified xsi:type="dcterms:W3CDTF">2022-09-09T13:48:00Z</dcterms:modified>
</cp:coreProperties>
</file>